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2394E71C" w:rsidR="0008271D" w:rsidRDefault="00EA5CA6" w:rsidP="00EA5CA6">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 xml:space="preserve">Unilateral </w:t>
      </w:r>
      <w:r w:rsidR="0008271D" w:rsidRPr="001011C6">
        <w:rPr>
          <w:rFonts w:ascii="Times New Roman" w:eastAsia="Montserrat" w:hAnsi="Times New Roman" w:cs="Times New Roman"/>
          <w:sz w:val="40"/>
          <w:szCs w:val="40"/>
        </w:rPr>
        <w:t>Non-Disclosure Agreement</w:t>
      </w:r>
    </w:p>
    <w:p w14:paraId="759CD514" w14:textId="4BDAA49B" w:rsidR="00EA5CA6" w:rsidRPr="00EA5CA6" w:rsidRDefault="00EA5CA6" w:rsidP="00EA5CA6">
      <w:pPr>
        <w:spacing w:line="360" w:lineRule="auto"/>
        <w:jc w:val="both"/>
        <w:rPr>
          <w:rFonts w:ascii="Times New Roman" w:eastAsia="Montserrat" w:hAnsi="Times New Roman" w:cs="Times New Roman"/>
          <w:sz w:val="22"/>
          <w:szCs w:val="22"/>
        </w:rPr>
      </w:pPr>
      <w:r w:rsidRPr="00EA5CA6">
        <w:rPr>
          <w:rFonts w:ascii="Times New Roman" w:eastAsia="Montserrat" w:hAnsi="Times New Roman" w:cs="Times New Roman"/>
          <w:sz w:val="22"/>
          <w:szCs w:val="22"/>
        </w:rPr>
        <w:t>This Non-Disclosure Agreement (NDA) Checklist is designed to streamline the process of completing a unilateral NDA template. It guides legal professionals through gathering the necessary information and obtaining client instructions on negotiable clauses, ensuring that the NDA is both comprehensive and tailored to the client's needs.</w:t>
      </w:r>
      <w:r w:rsidRPr="00564622">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The checklist highlights key clauses where client input is essential</w:t>
      </w:r>
      <w:r w:rsidR="00564622" w:rsidRPr="00564622">
        <w:rPr>
          <w:rFonts w:ascii="Times New Roman" w:eastAsia="Montserrat" w:hAnsi="Times New Roman" w:cs="Times New Roman"/>
          <w:sz w:val="22"/>
          <w:szCs w:val="22"/>
        </w:rPr>
        <w:t>.</w:t>
      </w:r>
      <w:r w:rsidRPr="00EA5CA6">
        <w:rPr>
          <w:rFonts w:ascii="Times New Roman" w:eastAsia="Montserrat" w:hAnsi="Times New Roman" w:cs="Times New Roman"/>
          <w:sz w:val="22"/>
          <w:szCs w:val="22"/>
        </w:rPr>
        <w:t xml:space="preserve"> This checklist serves as a practical companion to the NDA template, ensuring a well-drafted and enforceable agreement.</w:t>
      </w:r>
    </w:p>
    <w:tbl>
      <w:tblPr>
        <w:tblStyle w:val="TableGrid"/>
        <w:tblW w:w="0" w:type="auto"/>
        <w:tblLook w:val="04A0" w:firstRow="1" w:lastRow="0" w:firstColumn="1" w:lastColumn="0" w:noHBand="0" w:noVBand="1"/>
      </w:tblPr>
      <w:tblGrid>
        <w:gridCol w:w="999"/>
        <w:gridCol w:w="6493"/>
        <w:gridCol w:w="1518"/>
      </w:tblGrid>
      <w:tr w:rsidR="00D068E5" w:rsidRPr="001011C6" w14:paraId="1920CEEB" w14:textId="77777777" w:rsidTr="00EA5CA6">
        <w:tc>
          <w:tcPr>
            <w:tcW w:w="999" w:type="dxa"/>
            <w:shd w:val="clear" w:color="auto" w:fill="C0C0C0"/>
          </w:tcPr>
          <w:p w14:paraId="6FCB073F" w14:textId="10DC81BB"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Number</w:t>
            </w:r>
          </w:p>
        </w:tc>
        <w:tc>
          <w:tcPr>
            <w:tcW w:w="6493" w:type="dxa"/>
            <w:shd w:val="clear" w:color="auto" w:fill="C0C0C0"/>
          </w:tcPr>
          <w:p w14:paraId="5AE1DFEA" w14:textId="4B8ADB3A"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Answer</w:t>
            </w:r>
          </w:p>
        </w:tc>
      </w:tr>
      <w:tr w:rsidR="00D068E5" w:rsidRPr="001011C6" w14:paraId="69004D6B" w14:textId="7B83759D" w:rsidTr="001011C6">
        <w:tc>
          <w:tcPr>
            <w:tcW w:w="9010" w:type="dxa"/>
            <w:gridSpan w:val="3"/>
          </w:tcPr>
          <w:p w14:paraId="7D44034A" w14:textId="4DA17D3B"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Part 1: Information Required to Complete the NDA</w:t>
            </w:r>
          </w:p>
        </w:tc>
      </w:tr>
      <w:tr w:rsidR="00D068E5" w:rsidRPr="001011C6" w14:paraId="5CB1D67E" w14:textId="353F2672" w:rsidTr="00EA5CA6">
        <w:tc>
          <w:tcPr>
            <w:tcW w:w="999" w:type="dxa"/>
            <w:shd w:val="clear" w:color="auto" w:fill="D9D9D9" w:themeFill="background1" w:themeFillShade="D9"/>
          </w:tcPr>
          <w:p w14:paraId="1CCA6025" w14:textId="5442A78E"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3AE275B4"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Effective Date</w:t>
            </w:r>
          </w:p>
        </w:tc>
        <w:tc>
          <w:tcPr>
            <w:tcW w:w="1518" w:type="dxa"/>
            <w:shd w:val="clear" w:color="auto" w:fill="D9D9D9" w:themeFill="background1" w:themeFillShade="D9"/>
          </w:tcPr>
          <w:p w14:paraId="52B2A0EE"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AA72FB3" w14:textId="29D4A92C" w:rsidTr="00EA5CA6">
        <w:tc>
          <w:tcPr>
            <w:tcW w:w="999" w:type="dxa"/>
          </w:tcPr>
          <w:p w14:paraId="4DA102D0"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D7E8AFF" w14:textId="7939C09B"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sz w:val="22"/>
                <w:szCs w:val="22"/>
              </w:rPr>
              <w:t>Date the agreement will begin</w:t>
            </w:r>
          </w:p>
        </w:tc>
        <w:tc>
          <w:tcPr>
            <w:tcW w:w="1518" w:type="dxa"/>
          </w:tcPr>
          <w:p w14:paraId="5E6AC73D"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E37F2B6" w14:textId="416A4939" w:rsidTr="00EA5CA6">
        <w:tc>
          <w:tcPr>
            <w:tcW w:w="999" w:type="dxa"/>
            <w:shd w:val="clear" w:color="auto" w:fill="D9D9D9" w:themeFill="background1" w:themeFillShade="D9"/>
          </w:tcPr>
          <w:p w14:paraId="542C9389" w14:textId="4171C057"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E8C7" w14:textId="34F5C8FE"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Parties Involved</w:t>
            </w:r>
          </w:p>
        </w:tc>
        <w:tc>
          <w:tcPr>
            <w:tcW w:w="1518" w:type="dxa"/>
            <w:shd w:val="clear" w:color="auto" w:fill="D9D9D9" w:themeFill="background1" w:themeFillShade="D9"/>
          </w:tcPr>
          <w:p w14:paraId="2587F649"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F2479A5" w14:textId="6C001B8B" w:rsidTr="00EA5CA6">
        <w:tc>
          <w:tcPr>
            <w:tcW w:w="999" w:type="dxa"/>
          </w:tcPr>
          <w:p w14:paraId="188F8A92"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366F07B" w14:textId="3557D29D"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 xml:space="preserve">Name of the Discloser (Company providing confidential information): </w:t>
            </w:r>
          </w:p>
        </w:tc>
        <w:tc>
          <w:tcPr>
            <w:tcW w:w="1518" w:type="dxa"/>
          </w:tcPr>
          <w:p w14:paraId="5B2D993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68C5086" w14:textId="7F5B6DE0" w:rsidTr="00EA5CA6">
        <w:tc>
          <w:tcPr>
            <w:tcW w:w="999" w:type="dxa"/>
          </w:tcPr>
          <w:p w14:paraId="4F913F62"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355B9C6A" w14:textId="29F914D0"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Discloser's registered office address</w:t>
            </w:r>
          </w:p>
        </w:tc>
        <w:tc>
          <w:tcPr>
            <w:tcW w:w="1518" w:type="dxa"/>
          </w:tcPr>
          <w:p w14:paraId="7193329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F0BA685" w14:textId="3708D3C0" w:rsidTr="00EA5CA6">
        <w:tc>
          <w:tcPr>
            <w:tcW w:w="999" w:type="dxa"/>
          </w:tcPr>
          <w:p w14:paraId="4280200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FF9D922" w14:textId="56827FDF"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Name of the Recipient (Company receiving confidential information)</w:t>
            </w:r>
          </w:p>
        </w:tc>
        <w:tc>
          <w:tcPr>
            <w:tcW w:w="1518" w:type="dxa"/>
          </w:tcPr>
          <w:p w14:paraId="68B04131"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AC5C704" w14:textId="4CC1E9D7" w:rsidTr="00EA5CA6">
        <w:tc>
          <w:tcPr>
            <w:tcW w:w="999" w:type="dxa"/>
          </w:tcPr>
          <w:p w14:paraId="17552ED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0D002CDD" w14:textId="0B8D41DF"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Recipient's registered office address</w:t>
            </w:r>
          </w:p>
        </w:tc>
        <w:tc>
          <w:tcPr>
            <w:tcW w:w="1518" w:type="dxa"/>
          </w:tcPr>
          <w:p w14:paraId="4634AC4E"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2C7D7D2" w14:textId="6DC305F3" w:rsidTr="00EA5CA6">
        <w:tc>
          <w:tcPr>
            <w:tcW w:w="999" w:type="dxa"/>
            <w:shd w:val="clear" w:color="auto" w:fill="D9D9D9" w:themeFill="background1" w:themeFillShade="D9"/>
          </w:tcPr>
          <w:p w14:paraId="16A45ADA" w14:textId="5FC2936F"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39F211DF"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Corporate Information</w:t>
            </w:r>
          </w:p>
        </w:tc>
        <w:tc>
          <w:tcPr>
            <w:tcW w:w="1518" w:type="dxa"/>
            <w:shd w:val="clear" w:color="auto" w:fill="D9D9D9" w:themeFill="background1" w:themeFillShade="D9"/>
          </w:tcPr>
          <w:p w14:paraId="6DC81E6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EF1E88E" w14:textId="3143619C" w:rsidTr="00EA5CA6">
        <w:tc>
          <w:tcPr>
            <w:tcW w:w="999" w:type="dxa"/>
          </w:tcPr>
          <w:p w14:paraId="7A34E69A"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37AF663C" w14:textId="1B07E4F9"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Discloser’s legal incorporation details</w:t>
            </w:r>
          </w:p>
        </w:tc>
        <w:tc>
          <w:tcPr>
            <w:tcW w:w="1518" w:type="dxa"/>
          </w:tcPr>
          <w:p w14:paraId="010471D2"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8A25297" w14:textId="228F3818" w:rsidTr="00EA5CA6">
        <w:tc>
          <w:tcPr>
            <w:tcW w:w="999" w:type="dxa"/>
          </w:tcPr>
          <w:p w14:paraId="6BC1B177"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01738AD9" w14:textId="18E7EB0B"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Recipient’s legal incorporation details</w:t>
            </w:r>
          </w:p>
        </w:tc>
        <w:tc>
          <w:tcPr>
            <w:tcW w:w="1518" w:type="dxa"/>
          </w:tcPr>
          <w:p w14:paraId="6B67AA0A"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79638A0" w14:textId="02F32541" w:rsidTr="00EA5CA6">
        <w:tc>
          <w:tcPr>
            <w:tcW w:w="999" w:type="dxa"/>
            <w:shd w:val="clear" w:color="auto" w:fill="D9D9D9" w:themeFill="background1" w:themeFillShade="D9"/>
          </w:tcPr>
          <w:p w14:paraId="31094102" w14:textId="0AF1D0F1"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64747B2" w14:textId="00C2176C"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Confidentiality Period</w:t>
            </w:r>
          </w:p>
        </w:tc>
        <w:tc>
          <w:tcPr>
            <w:tcW w:w="1518" w:type="dxa"/>
            <w:shd w:val="clear" w:color="auto" w:fill="D9D9D9" w:themeFill="background1" w:themeFillShade="D9"/>
          </w:tcPr>
          <w:p w14:paraId="44E8E1CA"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5F47475" w14:textId="352ADE8C" w:rsidTr="00EA5CA6">
        <w:tc>
          <w:tcPr>
            <w:tcW w:w="999" w:type="dxa"/>
          </w:tcPr>
          <w:p w14:paraId="35899D77"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9073E78" w14:textId="7FE5952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Term of confidentiality obligations (e.g., number of years from the Effective Date)</w:t>
            </w:r>
          </w:p>
        </w:tc>
        <w:tc>
          <w:tcPr>
            <w:tcW w:w="1518" w:type="dxa"/>
          </w:tcPr>
          <w:p w14:paraId="48A87B5F"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CE07181" w14:textId="0291D58A" w:rsidTr="00EA5CA6">
        <w:tc>
          <w:tcPr>
            <w:tcW w:w="999" w:type="dxa"/>
          </w:tcPr>
          <w:p w14:paraId="4552DCAC"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E2497CE" w14:textId="5F17CE2E"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sz w:val="22"/>
                <w:szCs w:val="22"/>
              </w:rPr>
              <w:t>Specific handling of Trade Secrets</w:t>
            </w:r>
          </w:p>
        </w:tc>
        <w:tc>
          <w:tcPr>
            <w:tcW w:w="1518" w:type="dxa"/>
          </w:tcPr>
          <w:p w14:paraId="2FB9C36F"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0D59AB6" w14:textId="048B4AED" w:rsidTr="00EA5CA6">
        <w:tc>
          <w:tcPr>
            <w:tcW w:w="999" w:type="dxa"/>
            <w:shd w:val="clear" w:color="auto" w:fill="D9D9D9" w:themeFill="background1" w:themeFillShade="D9"/>
          </w:tcPr>
          <w:p w14:paraId="721720ED" w14:textId="7690AA05"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16E88A87"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Disclosure Mechanism</w:t>
            </w:r>
          </w:p>
        </w:tc>
        <w:tc>
          <w:tcPr>
            <w:tcW w:w="1518" w:type="dxa"/>
            <w:shd w:val="clear" w:color="auto" w:fill="D9D9D9" w:themeFill="background1" w:themeFillShade="D9"/>
          </w:tcPr>
          <w:p w14:paraId="6EC6292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144AD76" w14:textId="4325D32D" w:rsidTr="00EA5CA6">
        <w:tc>
          <w:tcPr>
            <w:tcW w:w="999" w:type="dxa"/>
          </w:tcPr>
          <w:p w14:paraId="339A4C6E"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D9D2943" w14:textId="1C2F76C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Timeframe for documenting oral or visual disclosure (e.g., within [number of days] Business Days)</w:t>
            </w:r>
          </w:p>
        </w:tc>
        <w:tc>
          <w:tcPr>
            <w:tcW w:w="1518" w:type="dxa"/>
          </w:tcPr>
          <w:p w14:paraId="1D2331B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AEA6C73" w14:textId="6A367D63" w:rsidTr="00EA5CA6">
        <w:tc>
          <w:tcPr>
            <w:tcW w:w="999" w:type="dxa"/>
            <w:shd w:val="clear" w:color="auto" w:fill="D9D9D9" w:themeFill="background1" w:themeFillShade="D9"/>
          </w:tcPr>
          <w:p w14:paraId="71CFD5D9" w14:textId="7629B619"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2BF2B3C" w14:textId="4172F28D"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Return of Confidential Information</w:t>
            </w:r>
          </w:p>
        </w:tc>
        <w:tc>
          <w:tcPr>
            <w:tcW w:w="1518" w:type="dxa"/>
            <w:shd w:val="clear" w:color="auto" w:fill="D9D9D9" w:themeFill="background1" w:themeFillShade="D9"/>
          </w:tcPr>
          <w:p w14:paraId="4775253E"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06E94F0" w14:textId="74229309" w:rsidTr="00EA5CA6">
        <w:tc>
          <w:tcPr>
            <w:tcW w:w="999" w:type="dxa"/>
          </w:tcPr>
          <w:p w14:paraId="73463EB4"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4E4F39F0" w14:textId="4095AC6B"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Deadline for return/destruction of confidential information after request (number of days)</w:t>
            </w:r>
          </w:p>
        </w:tc>
        <w:tc>
          <w:tcPr>
            <w:tcW w:w="1518" w:type="dxa"/>
          </w:tcPr>
          <w:p w14:paraId="6D6FC67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084439C" w14:textId="741DA95B" w:rsidTr="00EA5CA6">
        <w:tc>
          <w:tcPr>
            <w:tcW w:w="999" w:type="dxa"/>
            <w:shd w:val="clear" w:color="auto" w:fill="D9D9D9" w:themeFill="background1" w:themeFillShade="D9"/>
          </w:tcPr>
          <w:p w14:paraId="06F362E6" w14:textId="515F4ED0"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D54927B" w14:textId="68E07B9F"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Audit Rights</w:t>
            </w:r>
          </w:p>
        </w:tc>
        <w:tc>
          <w:tcPr>
            <w:tcW w:w="1518" w:type="dxa"/>
            <w:shd w:val="clear" w:color="auto" w:fill="D9D9D9" w:themeFill="background1" w:themeFillShade="D9"/>
          </w:tcPr>
          <w:p w14:paraId="30F6F81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5E3F5EB" w14:textId="0D97E006" w:rsidTr="00EA5CA6">
        <w:tc>
          <w:tcPr>
            <w:tcW w:w="999" w:type="dxa"/>
          </w:tcPr>
          <w:p w14:paraId="3E46B29B"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D22AA17" w14:textId="44F0081E"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Duration for which the Recipient must maintain records for potential audit (e.g., [number of days/weeks/months/years])</w:t>
            </w:r>
          </w:p>
        </w:tc>
        <w:tc>
          <w:tcPr>
            <w:tcW w:w="1518" w:type="dxa"/>
          </w:tcPr>
          <w:p w14:paraId="167A07F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48E978F" w14:textId="62907B00" w:rsidTr="00EA5CA6">
        <w:tc>
          <w:tcPr>
            <w:tcW w:w="999" w:type="dxa"/>
          </w:tcPr>
          <w:p w14:paraId="344B896C"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55E0FBD" w14:textId="4527521E"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Advance notice period for audits (e.g., [number of days/hours])</w:t>
            </w:r>
          </w:p>
        </w:tc>
        <w:tc>
          <w:tcPr>
            <w:tcW w:w="1518" w:type="dxa"/>
          </w:tcPr>
          <w:p w14:paraId="5BCB9AE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CE96FF7" w14:textId="2D02329C" w:rsidTr="00EA5CA6">
        <w:tc>
          <w:tcPr>
            <w:tcW w:w="999" w:type="dxa"/>
            <w:shd w:val="clear" w:color="auto" w:fill="D9D9D9" w:themeFill="background1" w:themeFillShade="D9"/>
          </w:tcPr>
          <w:p w14:paraId="4BA54042" w14:textId="72B91A50"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D5910E2" w14:textId="50E3BBB7"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Notices</w:t>
            </w:r>
          </w:p>
        </w:tc>
        <w:tc>
          <w:tcPr>
            <w:tcW w:w="1518" w:type="dxa"/>
            <w:shd w:val="clear" w:color="auto" w:fill="D9D9D9" w:themeFill="background1" w:themeFillShade="D9"/>
          </w:tcPr>
          <w:p w14:paraId="485C685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C57D915" w14:textId="1C1B60AB" w:rsidTr="00EA5CA6">
        <w:tc>
          <w:tcPr>
            <w:tcW w:w="999" w:type="dxa"/>
          </w:tcPr>
          <w:p w14:paraId="793F584A"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279239C" w14:textId="7245B203"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Discloser’s contact for notices (Name, email, address)</w:t>
            </w:r>
          </w:p>
        </w:tc>
        <w:tc>
          <w:tcPr>
            <w:tcW w:w="1518" w:type="dxa"/>
          </w:tcPr>
          <w:p w14:paraId="6158472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6410B61" w14:textId="12AE8481" w:rsidTr="00EA5CA6">
        <w:tc>
          <w:tcPr>
            <w:tcW w:w="999" w:type="dxa"/>
          </w:tcPr>
          <w:p w14:paraId="25A3A8AB"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12FEA6C" w14:textId="76CB1DF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Recipient’s contact for notices (Name, email, address)</w:t>
            </w:r>
          </w:p>
        </w:tc>
        <w:tc>
          <w:tcPr>
            <w:tcW w:w="1518" w:type="dxa"/>
          </w:tcPr>
          <w:p w14:paraId="4C1DFA7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F59ED5B" w14:textId="351E8A83" w:rsidTr="00EA5CA6">
        <w:tc>
          <w:tcPr>
            <w:tcW w:w="999" w:type="dxa"/>
            <w:shd w:val="clear" w:color="auto" w:fill="D9D9D9" w:themeFill="background1" w:themeFillShade="D9"/>
          </w:tcPr>
          <w:p w14:paraId="64444795" w14:textId="55BE6224"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5E2910" w14:textId="128A7201"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Governing Law and Jurisdiction</w:t>
            </w:r>
          </w:p>
        </w:tc>
        <w:tc>
          <w:tcPr>
            <w:tcW w:w="1518" w:type="dxa"/>
            <w:shd w:val="clear" w:color="auto" w:fill="D9D9D9" w:themeFill="background1" w:themeFillShade="D9"/>
          </w:tcPr>
          <w:p w14:paraId="6FB490EA"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5465BB0" w14:textId="7D284C3A" w:rsidTr="00EA5CA6">
        <w:tc>
          <w:tcPr>
            <w:tcW w:w="999" w:type="dxa"/>
          </w:tcPr>
          <w:p w14:paraId="4FAD3A37"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57F38BC8" w14:textId="5B6EE2CC"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Place of jurisdiction (City and country in India)</w:t>
            </w:r>
          </w:p>
        </w:tc>
        <w:tc>
          <w:tcPr>
            <w:tcW w:w="1518" w:type="dxa"/>
          </w:tcPr>
          <w:p w14:paraId="0E014A9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25E8DB7" w14:textId="6296CCD5" w:rsidTr="00EA5CA6">
        <w:tc>
          <w:tcPr>
            <w:tcW w:w="999" w:type="dxa"/>
          </w:tcPr>
          <w:p w14:paraId="4D2542AD"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7383538" w14:textId="47FF9409"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Arbitration venue and number of arbitrators (One/Three)</w:t>
            </w:r>
          </w:p>
        </w:tc>
        <w:tc>
          <w:tcPr>
            <w:tcW w:w="1518" w:type="dxa"/>
          </w:tcPr>
          <w:p w14:paraId="4E3CE2A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6595A91" w14:textId="10CF9090" w:rsidTr="00EA5CA6">
        <w:tc>
          <w:tcPr>
            <w:tcW w:w="999" w:type="dxa"/>
          </w:tcPr>
          <w:p w14:paraId="0A5CDFF8"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306FA6A8" w14:textId="25604CE2"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Rate of interest on arbitral awards</w:t>
            </w:r>
          </w:p>
        </w:tc>
        <w:tc>
          <w:tcPr>
            <w:tcW w:w="1518" w:type="dxa"/>
          </w:tcPr>
          <w:p w14:paraId="05E995C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FE942A7" w14:textId="6D23558B" w:rsidTr="001011C6">
        <w:tc>
          <w:tcPr>
            <w:tcW w:w="9010" w:type="dxa"/>
            <w:gridSpan w:val="3"/>
          </w:tcPr>
          <w:p w14:paraId="7F95B16D" w14:textId="7D9FF004"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Part 2: Client Instructions on Negotiable Clauses (with Explanatory Notes)</w:t>
            </w:r>
          </w:p>
        </w:tc>
      </w:tr>
      <w:tr w:rsidR="00D068E5" w:rsidRPr="001011C6" w14:paraId="6B8B21BE" w14:textId="2CC48D39" w:rsidTr="00EA5CA6">
        <w:tc>
          <w:tcPr>
            <w:tcW w:w="999" w:type="dxa"/>
            <w:shd w:val="clear" w:color="auto" w:fill="D9D9D9" w:themeFill="background1" w:themeFillShade="D9"/>
          </w:tcPr>
          <w:p w14:paraId="69B79553" w14:textId="768460DB"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57260C6D"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Confidentiality Term</w:t>
            </w:r>
          </w:p>
        </w:tc>
        <w:tc>
          <w:tcPr>
            <w:tcW w:w="1518" w:type="dxa"/>
            <w:shd w:val="clear" w:color="auto" w:fill="D9D9D9" w:themeFill="background1" w:themeFillShade="D9"/>
          </w:tcPr>
          <w:p w14:paraId="0B6A897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71847DA" w14:textId="11287832" w:rsidTr="00EA5CA6">
        <w:tc>
          <w:tcPr>
            <w:tcW w:w="999" w:type="dxa"/>
          </w:tcPr>
          <w:p w14:paraId="6DC15160"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8638694" w14:textId="6BE25A6F"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How long should the Recipient be obligated to maintain confidentiality after the agreement expires? Would you like an indefinite obligation for Trade Secrets, or a fixed term?</w:t>
            </w:r>
          </w:p>
          <w:p w14:paraId="539A721B" w14:textId="0D2EAE0A"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Confidentiality periods are often fixed for general information, but Trade Secrets can be protected indefinitely. Confirm if you prefer to set a time limit for both, or protect Trade Secrets until they no longer hold commercial value.</w:t>
            </w:r>
          </w:p>
        </w:tc>
        <w:tc>
          <w:tcPr>
            <w:tcW w:w="1518" w:type="dxa"/>
          </w:tcPr>
          <w:p w14:paraId="5897C119" w14:textId="77777777" w:rsidR="00D068E5" w:rsidRPr="001011C6" w:rsidRDefault="00D068E5" w:rsidP="001011C6">
            <w:pPr>
              <w:spacing w:line="360" w:lineRule="auto"/>
              <w:ind w:left="360"/>
              <w:rPr>
                <w:rFonts w:ascii="Times New Roman" w:hAnsi="Times New Roman" w:cs="Times New Roman"/>
                <w:sz w:val="22"/>
                <w:szCs w:val="22"/>
              </w:rPr>
            </w:pPr>
          </w:p>
        </w:tc>
      </w:tr>
      <w:tr w:rsidR="00D068E5" w:rsidRPr="001011C6" w14:paraId="39A1A0D9" w14:textId="10DC94B1" w:rsidTr="00EA5CA6">
        <w:tc>
          <w:tcPr>
            <w:tcW w:w="999" w:type="dxa"/>
            <w:shd w:val="clear" w:color="auto" w:fill="D9D9D9" w:themeFill="background1" w:themeFillShade="D9"/>
          </w:tcPr>
          <w:p w14:paraId="47EDBA92" w14:textId="19F2F6FA"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1188CB58"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Sharing Confidential Information with Representatives</w:t>
            </w:r>
          </w:p>
        </w:tc>
        <w:tc>
          <w:tcPr>
            <w:tcW w:w="1518" w:type="dxa"/>
            <w:shd w:val="clear" w:color="auto" w:fill="D9D9D9" w:themeFill="background1" w:themeFillShade="D9"/>
          </w:tcPr>
          <w:p w14:paraId="794101AB"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6BC7F44" w14:textId="4DEA063D" w:rsidTr="00EA5CA6">
        <w:tc>
          <w:tcPr>
            <w:tcW w:w="999" w:type="dxa"/>
          </w:tcPr>
          <w:p w14:paraId="61F6732C"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57AB90E4" w14:textId="7777777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Should additional protections or approvals be required before the Recipient can disclose confidential information to its Representatives (e.g., further written consent, enhanced monitoring)?</w:t>
            </w:r>
          </w:p>
          <w:p w14:paraId="08A46B7E" w14:textId="65B44BD5"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While the NDA allows sharing with Representatives on a "need-to-know" basis, you can add safeguards, such as requiring your approval before they access confidential information, to minimize risk.</w:t>
            </w:r>
          </w:p>
        </w:tc>
        <w:tc>
          <w:tcPr>
            <w:tcW w:w="1518" w:type="dxa"/>
          </w:tcPr>
          <w:p w14:paraId="25FE3B96"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950A232" w14:textId="188541C7" w:rsidTr="00EA5CA6">
        <w:tc>
          <w:tcPr>
            <w:tcW w:w="999" w:type="dxa"/>
            <w:shd w:val="clear" w:color="auto" w:fill="D9D9D9" w:themeFill="background1" w:themeFillShade="D9"/>
          </w:tcPr>
          <w:p w14:paraId="5358371D" w14:textId="47497ED0"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63C3386A"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Compelled Disclosure</w:t>
            </w:r>
          </w:p>
        </w:tc>
        <w:tc>
          <w:tcPr>
            <w:tcW w:w="1518" w:type="dxa"/>
            <w:shd w:val="clear" w:color="auto" w:fill="D9D9D9" w:themeFill="background1" w:themeFillShade="D9"/>
          </w:tcPr>
          <w:p w14:paraId="4B393773"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4D8B934" w14:textId="6D110D8B" w:rsidTr="00EA5CA6">
        <w:tc>
          <w:tcPr>
            <w:tcW w:w="999" w:type="dxa"/>
          </w:tcPr>
          <w:p w14:paraId="1B7BA152"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7EAA3766" w14:textId="7777777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Should there be a provision for immediate notification if the Recipient is legally required to disclose confidential information (e.g., within [number of hours/days])? Should any specific limits be set on the scope of compelled disclosure?</w:t>
            </w:r>
          </w:p>
          <w:p w14:paraId="756AFF80" w14:textId="631C3CB0"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Sometimes, law or court orders can compel the Recipient to disclose confidential information. You can negotiate to ensure prompt notification and limit disclosure to the absolute minimum required.</w:t>
            </w:r>
          </w:p>
        </w:tc>
        <w:tc>
          <w:tcPr>
            <w:tcW w:w="1518" w:type="dxa"/>
          </w:tcPr>
          <w:p w14:paraId="4241745F"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AC3D510" w14:textId="1A365D74" w:rsidTr="00EA5CA6">
        <w:tc>
          <w:tcPr>
            <w:tcW w:w="999" w:type="dxa"/>
            <w:shd w:val="clear" w:color="auto" w:fill="D9D9D9" w:themeFill="background1" w:themeFillShade="D9"/>
          </w:tcPr>
          <w:p w14:paraId="467698A0" w14:textId="2C423EB8"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31F81D1" w14:textId="4E91B26B"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Remedies</w:t>
            </w:r>
          </w:p>
        </w:tc>
        <w:tc>
          <w:tcPr>
            <w:tcW w:w="1518" w:type="dxa"/>
            <w:shd w:val="clear" w:color="auto" w:fill="D9D9D9" w:themeFill="background1" w:themeFillShade="D9"/>
          </w:tcPr>
          <w:p w14:paraId="32ABF851"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8AAD137" w14:textId="0A6218B7" w:rsidTr="00EA5CA6">
        <w:tc>
          <w:tcPr>
            <w:tcW w:w="999" w:type="dxa"/>
          </w:tcPr>
          <w:p w14:paraId="36512A6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173DC61" w14:textId="7777777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Would you prefer to limit remedies to specific actions (e.g., injunctions, audits) in the case of breach, or allow a broader range of legal remedies?</w:t>
            </w:r>
          </w:p>
          <w:p w14:paraId="75D1B21C" w14:textId="24DA3514"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lastRenderedPageBreak/>
              <w:t xml:space="preserve">Explanation: </w:t>
            </w:r>
            <w:r w:rsidRPr="001011C6">
              <w:rPr>
                <w:rFonts w:ascii="Times New Roman" w:hAnsi="Times New Roman" w:cs="Times New Roman"/>
                <w:sz w:val="22"/>
                <w:szCs w:val="22"/>
              </w:rPr>
              <w:t>Remedies for a breach can include seeking injunctive relief, auditing the Recipient’s systems, or pursuing damages. Discuss whether to limit remedies to certain actions or allow broader legal recourse.</w:t>
            </w:r>
          </w:p>
        </w:tc>
        <w:tc>
          <w:tcPr>
            <w:tcW w:w="1518" w:type="dxa"/>
          </w:tcPr>
          <w:p w14:paraId="705ADD6C"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9781F7F" w14:textId="6C5F9A0E" w:rsidTr="00EA5CA6">
        <w:tc>
          <w:tcPr>
            <w:tcW w:w="999" w:type="dxa"/>
            <w:shd w:val="clear" w:color="auto" w:fill="D9D9D9" w:themeFill="background1" w:themeFillShade="D9"/>
          </w:tcPr>
          <w:p w14:paraId="742BFEA6" w14:textId="5CDBFCFC"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F0AF0C" w14:textId="79A96F9E"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Indemnity</w:t>
            </w:r>
          </w:p>
        </w:tc>
        <w:tc>
          <w:tcPr>
            <w:tcW w:w="1518" w:type="dxa"/>
            <w:shd w:val="clear" w:color="auto" w:fill="D9D9D9" w:themeFill="background1" w:themeFillShade="D9"/>
          </w:tcPr>
          <w:p w14:paraId="2AA604B2"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3293C6B" w14:textId="3E0EF303" w:rsidTr="00EA5CA6">
        <w:tc>
          <w:tcPr>
            <w:tcW w:w="999" w:type="dxa"/>
          </w:tcPr>
          <w:p w14:paraId="4A94D69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705D378E" w14:textId="56D5290E"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Should the Recipient be fully responsible for all legal costs, damages, and other expenses arising from a breach of confidentiality, or would you prefer to limit liability to direct damages?</w:t>
            </w:r>
          </w:p>
        </w:tc>
        <w:tc>
          <w:tcPr>
            <w:tcW w:w="1518" w:type="dxa"/>
          </w:tcPr>
          <w:p w14:paraId="5E8D857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0E3B683" w14:textId="76461C17" w:rsidTr="00EA5CA6">
        <w:tc>
          <w:tcPr>
            <w:tcW w:w="999" w:type="dxa"/>
          </w:tcPr>
          <w:p w14:paraId="41FB9CED"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FFFBC33" w14:textId="4AF8B319"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The current indemnity clause may hold the Recipient liable for all losses, including legal costs. If you wish, you can negotiate to limit their responsibility to direct damages only, reducing their exposure.</w:t>
            </w:r>
          </w:p>
        </w:tc>
        <w:tc>
          <w:tcPr>
            <w:tcW w:w="1518" w:type="dxa"/>
          </w:tcPr>
          <w:p w14:paraId="7AB093D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05439A8" w14:textId="6324981D" w:rsidTr="00EA5CA6">
        <w:tc>
          <w:tcPr>
            <w:tcW w:w="999" w:type="dxa"/>
            <w:shd w:val="clear" w:color="auto" w:fill="D9D9D9" w:themeFill="background1" w:themeFillShade="D9"/>
          </w:tcPr>
          <w:p w14:paraId="1B89CD8C" w14:textId="2992FE50"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8C18" w14:textId="6CBFF794"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Audit Rights</w:t>
            </w:r>
          </w:p>
        </w:tc>
        <w:tc>
          <w:tcPr>
            <w:tcW w:w="1518" w:type="dxa"/>
            <w:shd w:val="clear" w:color="auto" w:fill="D9D9D9" w:themeFill="background1" w:themeFillShade="D9"/>
          </w:tcPr>
          <w:p w14:paraId="0DEC77DD"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EF966A9" w14:textId="43BF1F45" w:rsidTr="00EA5CA6">
        <w:tc>
          <w:tcPr>
            <w:tcW w:w="999" w:type="dxa"/>
          </w:tcPr>
          <w:p w14:paraId="467B0B7B"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76308AA" w14:textId="7777777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Should the Discloser be allowed to audit the Recipient’s systems without prior notice in certain cases (e.g., suspected breach of confidentiality), or would you like a fixed notice period for all audits?</w:t>
            </w:r>
          </w:p>
          <w:p w14:paraId="0A3499B5" w14:textId="4C78835C"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You can choose whether to allow audits at any time without notice (e.g., in case of a suspected breach) or to always provide advance notice. This impacts how easily you can monitor compliance.</w:t>
            </w:r>
          </w:p>
        </w:tc>
        <w:tc>
          <w:tcPr>
            <w:tcW w:w="1518" w:type="dxa"/>
          </w:tcPr>
          <w:p w14:paraId="161F6692" w14:textId="77777777" w:rsidR="00D068E5" w:rsidRPr="001011C6" w:rsidRDefault="00D068E5" w:rsidP="001011C6">
            <w:pPr>
              <w:spacing w:line="360" w:lineRule="auto"/>
              <w:rPr>
                <w:rFonts w:ascii="Times New Roman" w:hAnsi="Times New Roman" w:cs="Times New Roman"/>
                <w:sz w:val="22"/>
                <w:szCs w:val="22"/>
              </w:rPr>
            </w:pPr>
          </w:p>
        </w:tc>
      </w:tr>
      <w:tr w:rsidR="001011C6" w:rsidRPr="001011C6" w14:paraId="6490791D" w14:textId="747FFB09" w:rsidTr="00EA5CA6">
        <w:tc>
          <w:tcPr>
            <w:tcW w:w="999" w:type="dxa"/>
            <w:shd w:val="clear" w:color="auto" w:fill="D9D9D9" w:themeFill="background1" w:themeFillShade="D9"/>
          </w:tcPr>
          <w:p w14:paraId="632D92A7" w14:textId="3D3F9FE4" w:rsidR="001011C6" w:rsidRPr="001011C6" w:rsidRDefault="001011C6"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1D8C87F" w14:textId="781BF25B"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Governing Law and Arbitration</w:t>
            </w:r>
          </w:p>
        </w:tc>
        <w:tc>
          <w:tcPr>
            <w:tcW w:w="1518" w:type="dxa"/>
            <w:shd w:val="clear" w:color="auto" w:fill="D9D9D9" w:themeFill="background1" w:themeFillShade="D9"/>
          </w:tcPr>
          <w:p w14:paraId="6CCE876C" w14:textId="77777777" w:rsidR="001011C6" w:rsidRPr="001011C6" w:rsidRDefault="001011C6" w:rsidP="001011C6">
            <w:pPr>
              <w:spacing w:line="360" w:lineRule="auto"/>
              <w:rPr>
                <w:rFonts w:ascii="Times New Roman" w:hAnsi="Times New Roman" w:cs="Times New Roman"/>
                <w:sz w:val="22"/>
                <w:szCs w:val="22"/>
              </w:rPr>
            </w:pPr>
          </w:p>
        </w:tc>
      </w:tr>
      <w:tr w:rsidR="001011C6" w:rsidRPr="001011C6" w14:paraId="68D162C3" w14:textId="4A2E1D84" w:rsidTr="00EA5CA6">
        <w:tc>
          <w:tcPr>
            <w:tcW w:w="999" w:type="dxa"/>
          </w:tcPr>
          <w:p w14:paraId="0DB0957B" w14:textId="77777777" w:rsidR="001011C6" w:rsidRPr="001011C6" w:rsidRDefault="001011C6" w:rsidP="001011C6">
            <w:pPr>
              <w:spacing w:line="360" w:lineRule="auto"/>
              <w:rPr>
                <w:rFonts w:ascii="Times New Roman" w:hAnsi="Times New Roman" w:cs="Times New Roman"/>
                <w:sz w:val="22"/>
                <w:szCs w:val="22"/>
              </w:rPr>
            </w:pPr>
          </w:p>
        </w:tc>
        <w:tc>
          <w:tcPr>
            <w:tcW w:w="6493" w:type="dxa"/>
          </w:tcPr>
          <w:p w14:paraId="0F224F22" w14:textId="77777777" w:rsidR="001011C6" w:rsidRPr="001011C6" w:rsidRDefault="001011C6"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Is the client comfortable with arbitration in [city], or would they prefer a different jurisdiction or alternative dispute resolution methods?</w:t>
            </w:r>
          </w:p>
          <w:p w14:paraId="15834A98" w14:textId="32427636"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Arbitration venue and number of arbitrators can affect the convenience and cost of resolving disputes. Discuss whether the chosen location and arbitration setup are acceptable or if another jurisdiction would be preferred.</w:t>
            </w:r>
          </w:p>
        </w:tc>
        <w:tc>
          <w:tcPr>
            <w:tcW w:w="1518" w:type="dxa"/>
          </w:tcPr>
          <w:p w14:paraId="662F1E5A" w14:textId="77777777" w:rsidR="001011C6" w:rsidRPr="001011C6" w:rsidRDefault="001011C6" w:rsidP="001011C6">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lastRenderedPageBreak/>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08271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Borders w:offsetFrom="page">
        <w:top w:val="single" w:sz="24" w:space="24" w:color="87CEEB"/>
        <w:left w:val="single" w:sz="24" w:space="24" w:color="87CEEB"/>
        <w:bottom w:val="single" w:sz="24" w:space="24" w:color="87CEEB"/>
        <w:right w:val="single" w:sz="24" w:space="24" w:color="87CEE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DC40" w14:textId="77777777" w:rsidR="00F35576" w:rsidRDefault="00F35576" w:rsidP="0008271D">
      <w:r>
        <w:separator/>
      </w:r>
    </w:p>
  </w:endnote>
  <w:endnote w:type="continuationSeparator" w:id="0">
    <w:p w14:paraId="7BE7A96B" w14:textId="77777777" w:rsidR="00F35576" w:rsidRDefault="00F35576"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BB9A" w14:textId="77777777" w:rsidR="00E77B6C" w:rsidRDefault="00E7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5F0C88FD">
              <wp:simplePos x="0" y="0"/>
              <wp:positionH relativeFrom="margin">
                <wp:posOffset>18299</wp:posOffset>
              </wp:positionH>
              <wp:positionV relativeFrom="bottomMargin">
                <wp:posOffset>180926</wp:posOffset>
              </wp:positionV>
              <wp:extent cx="5925301" cy="332545"/>
              <wp:effectExtent l="0" t="0" r="5715" b="0"/>
              <wp:wrapSquare wrapText="bothSides"/>
              <wp:docPr id="37" name="Group 12"/>
              <wp:cNvGraphicFramePr/>
              <a:graphic xmlns:a="http://schemas.openxmlformats.org/drawingml/2006/main">
                <a:graphicData uri="http://schemas.microsoft.com/office/word/2010/wordprocessingGroup">
                  <wpg:wgp>
                    <wpg:cNvGrpSpPr/>
                    <wpg:grpSpPr>
                      <a:xfrm>
                        <a:off x="0" y="0"/>
                        <a:ext cx="5925301" cy="332545"/>
                        <a:chOff x="18358" y="0"/>
                        <a:chExt cx="5944292" cy="3365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18826"/>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6C7D22F2" w:rsidR="007A5134" w:rsidRPr="007A5134" w:rsidRDefault="007A5134" w:rsidP="007A5134">
                            <w:pPr>
                              <w:rPr>
                                <w:rFonts w:ascii="Montserrat" w:hAnsi="Montserrat"/>
                                <w:sz w:val="16"/>
                                <w:szCs w:val="16"/>
                              </w:rPr>
                            </w:pPr>
                            <w:r w:rsidRPr="007A5134">
                              <w:rPr>
                                <w:rFonts w:ascii="Montserrat" w:hAnsi="Montserrat"/>
                                <w:sz w:val="16"/>
                                <w:szCs w:val="16"/>
                              </w:rPr>
                              <w:t>CH.GC.1.1.</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5pt;margin-top:14.25pt;width:466.55pt;height:26.2pt;z-index:251662336;mso-wrap-distance-left:0;mso-wrap-distance-right:0;mso-position-horizontal-relative:margin;mso-position-vertical-relative:bottom-margin-area;mso-width-relative:margin;mso-height-relative:margin" coordorigin="183" coordsize="59442,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ntucAMAAHEKAAAOAAAAZHJzL2Uyb0RvYy54bWzMVtlO3DAUfa/Uf7D8XrJNBiYiIAoFVUKA&#13;&#10;ClWfPY4zierYru0hoV/fa2cDOm0RlaryELzc9eSeMzk87hqO7pk2tRQ5jvZCjJigsqjFJsef787f&#13;&#10;HWBkLBEF4VKwHD8wg4+P3r45bFXGYllJXjCNIIgwWatyXFmrsiAwtGINMXtSMQGXpdQNsbDVm6DQ&#13;&#10;pIXoDQ/iMFwGrdSF0pIyY+D0rL/ERz5+WTJqr8vSMIt4jqE265/aP9fuGRwdkmyjiapqOpRBXlFF&#13;&#10;Q2oBSadQZ8QStNX1T6GammppZGn3qGwCWZY1Zb4H6CYKn3VzoeVW+V42WbtRE0wA7TOcXh2WXt1f&#13;&#10;aHWrbjQg0aoNYOF3rpeu1I37D1WizkP2MEHGOosoHKarOE3CCCMKd0kSp4u0x5RWALxziw6SFIZg&#13;&#10;dqXVh8l5sYhX8ei8TMPEOQdj6uBJQa2CETEzCubvULitiGIeXJMBCjca1QW0AKUK0sCkfoLZIWLD&#13;&#10;GYIzD463m6AymQHUduAUrcIURm1ueMZqkSxDuHJYRQcH8fJJtyRT2tgLJhvkFjnWUIEfKnJ/aWwP&#13;&#10;zGji8hrJ6+K85txvHGPYKdfonsCs2y4agj+x4sLZCum8+oDuBHAeu/Er+8CZs+PiEysBFniLsS/E&#13;&#10;03JOQihlwkb9VUUK1udOQ/gbs49l+dfqA7rIJeSfYg8BRss+yBi7r3Kwd67Ms3pyDn9XWO88efjM&#13;&#10;UtjJuamF1LsCcOhqyNzbjyD10DiU1rJ4gKHRstcUo+h5Da/tkhh7QzSICLxoEEZ7DY+SyzbHclhh&#13;&#10;VEn9fde5s4ephluMWhClHJtvW6IZRvyjgHlfRYuFUzG/WaT7MWz045v14xuxbU4lzAKwE6rzS2dv&#13;&#10;+bgstWy+gH6euKxwRQSF3DmmVo+bU9uLJSgwZScn3gyUSxF7KW4VdcEdqm4s77ovRKthdi0M/ZUc&#13;&#10;OUayZyPc2zpPIU+2Vpa1n+8Z1wFv4LuTpX9B/NVI/DvH1/eyQ8nKzYDLDvrgeI9sB+eu5+H8Vwow&#13;&#10;Sd7EcpjbWfRmFUii/eX+/jBqo96OHH+hDExsdoRFMGfLBPSnx/Ypz0fyDGriOus78KsdrH8BuXZT&#13;&#10;+gWO/5rSxdc/Utp26254s/8xu4Gor2b2+n/itf95h+8a/9MwfIO5D6fHe68D85fi0Q8AAAD//wMA&#13;&#10;UEsDBBQABgAIAAAAIQCkZ1ae4wAAAAwBAAAPAAAAZHJzL2Rvd25yZXYueG1sTI9Pa8MwDMXvg30H&#13;&#10;o8Fuq5OWliSNU0r351QGawdjNzVWk9DYDrGbpN9+2mm7SIgnPb1fvplMKwbqfeOsgngWgSBbOt3Y&#13;&#10;SsHn8fUpAeEDWo2ts6TgRh42xf1djpl2o/2g4RAqwSbWZ6igDqHLpPRlTQb9zHVkWTu73mDgsa+k&#13;&#10;7nFkc9PKeRStpMHG8ocaO9rVVF4OV6PgbcRxu4hfhv3lvLt9H5fvX/uYlHp8mJ7XXLZrEIGm8HcB&#13;&#10;vwycHwoOdnJXq71oFcxTXuSWLEGwnC5WzHdSkEQpyCKX/yGKHwAAAP//AwBQSwECLQAUAAYACAAA&#13;&#10;ACEAtoM4kv4AAADhAQAAEwAAAAAAAAAAAAAAAAAAAAAAW0NvbnRlbnRfVHlwZXNdLnhtbFBLAQIt&#13;&#10;ABQABgAIAAAAIQA4/SH/1gAAAJQBAAALAAAAAAAAAAAAAAAAAC8BAABfcmVscy8ucmVsc1BLAQIt&#13;&#10;ABQABgAIAAAAIQBP1ntucAMAAHEKAAAOAAAAAAAAAAAAAAAAAC4CAABkcnMvZTJvRG9jLnhtbFBL&#13;&#10;AQItABQABgAIAAAAIQCkZ1ae4wAAAAwBAAAPAAAAAAAAAAAAAAAAAMoFAABkcnMvZG93bnJldi54&#13;&#10;bWxQSwUGAAAAAAQABADzAAAA2g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188;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6C7D22F2" w:rsidR="007A5134" w:rsidRPr="007A5134" w:rsidRDefault="007A5134" w:rsidP="007A5134">
                      <w:pPr>
                        <w:rPr>
                          <w:rFonts w:ascii="Montserrat" w:hAnsi="Montserrat"/>
                          <w:sz w:val="16"/>
                          <w:szCs w:val="16"/>
                        </w:rPr>
                      </w:pPr>
                      <w:r w:rsidRPr="007A5134">
                        <w:rPr>
                          <w:rFonts w:ascii="Montserrat" w:hAnsi="Montserrat"/>
                          <w:sz w:val="16"/>
                          <w:szCs w:val="16"/>
                        </w:rPr>
                        <w:t>CH.GC.1.1.</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83F1" w14:textId="77777777" w:rsidR="00E77B6C" w:rsidRDefault="00E7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E145" w14:textId="77777777" w:rsidR="00F35576" w:rsidRDefault="00F35576" w:rsidP="0008271D">
      <w:r>
        <w:separator/>
      </w:r>
    </w:p>
  </w:footnote>
  <w:footnote w:type="continuationSeparator" w:id="0">
    <w:p w14:paraId="54999C46" w14:textId="77777777" w:rsidR="00F35576" w:rsidRDefault="00F35576"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63241" w14:textId="77777777" w:rsidR="00E77B6C" w:rsidRDefault="00E7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57036870" w:rsidR="0008271D" w:rsidRPr="00E21E29" w:rsidRDefault="0008271D" w:rsidP="0008271D">
    <w:pPr>
      <w:pBdr>
        <w:top w:val="nil"/>
        <w:left w:val="nil"/>
        <w:bottom w:val="nil"/>
        <w:right w:val="nil"/>
        <w:between w:val="nil"/>
      </w:pBdr>
      <w:tabs>
        <w:tab w:val="center" w:pos="4513"/>
        <w:tab w:val="right" w:pos="9026"/>
      </w:tabs>
      <w:ind w:left="-284"/>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t>General Commercial</w:t>
    </w:r>
  </w:p>
  <w:p w14:paraId="241E0F32" w14:textId="3A58AB3F" w:rsidR="0008271D" w:rsidRDefault="0008271D" w:rsidP="00E77B6C">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r w:rsidRPr="00B87DC1">
      <w:rPr>
        <w:rFonts w:ascii="Montserrat" w:eastAsia="Montserrat" w:hAnsi="Montserrat" w:cs="Montserrat"/>
      </w:rPr>
      <w:t>www.tllindia.com</w:t>
    </w:r>
    <w:r>
      <w:rPr>
        <w:rFonts w:ascii="Montserrat" w:eastAsia="Montserrat" w:hAnsi="Montserrat" w:cs="Montserrat"/>
      </w:rPr>
      <w:tab/>
    </w:r>
    <w:r>
      <w:rPr>
        <w:rFonts w:ascii="Montserrat" w:eastAsia="Montserrat" w:hAnsi="Montserrat" w:cs="Montserrat"/>
      </w:rPr>
      <w:tab/>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0431" w14:textId="77777777" w:rsidR="00E77B6C" w:rsidRDefault="00E7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2"/>
  </w:num>
  <w:num w:numId="3" w16cid:durableId="151138884">
    <w:abstractNumId w:val="4"/>
  </w:num>
  <w:num w:numId="4" w16cid:durableId="1426462771">
    <w:abstractNumId w:val="0"/>
  </w:num>
  <w:num w:numId="5" w16cid:durableId="1985355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321D3"/>
    <w:rsid w:val="000637FE"/>
    <w:rsid w:val="0008271D"/>
    <w:rsid w:val="001011C6"/>
    <w:rsid w:val="001877CA"/>
    <w:rsid w:val="001F3555"/>
    <w:rsid w:val="00375576"/>
    <w:rsid w:val="003759E2"/>
    <w:rsid w:val="0041784B"/>
    <w:rsid w:val="00486769"/>
    <w:rsid w:val="004B2020"/>
    <w:rsid w:val="004D242F"/>
    <w:rsid w:val="005263A5"/>
    <w:rsid w:val="00560F76"/>
    <w:rsid w:val="00564622"/>
    <w:rsid w:val="005A2E80"/>
    <w:rsid w:val="00675D2F"/>
    <w:rsid w:val="006C410E"/>
    <w:rsid w:val="0072044C"/>
    <w:rsid w:val="007A5134"/>
    <w:rsid w:val="00877DCA"/>
    <w:rsid w:val="008A32FE"/>
    <w:rsid w:val="00981F11"/>
    <w:rsid w:val="009C10FE"/>
    <w:rsid w:val="00AB3539"/>
    <w:rsid w:val="00AF6A8F"/>
    <w:rsid w:val="00B72797"/>
    <w:rsid w:val="00B74B61"/>
    <w:rsid w:val="00C577BE"/>
    <w:rsid w:val="00CA53AE"/>
    <w:rsid w:val="00CF6736"/>
    <w:rsid w:val="00D068E5"/>
    <w:rsid w:val="00D57419"/>
    <w:rsid w:val="00E77B6C"/>
    <w:rsid w:val="00EA5CA6"/>
    <w:rsid w:val="00EB2E6A"/>
    <w:rsid w:val="00F35576"/>
    <w:rsid w:val="00FD4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TLL The Law Library Private Limited</Company>
  <LinksUpToDate>false</LinksUpToDate>
  <CharactersWithSpaces>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Unilateral Non-Disclosure Agreement</dc:title>
  <dc:subject>General Commercial</dc:subject>
  <dc:creator>TLL The Law Library Private Limited</dc:creator>
  <cp:keywords/>
  <dc:description/>
  <cp:lastModifiedBy>Pranay Mangharam</cp:lastModifiedBy>
  <cp:revision>3</cp:revision>
  <dcterms:created xsi:type="dcterms:W3CDTF">2024-09-09T10:34:00Z</dcterms:created>
  <dcterms:modified xsi:type="dcterms:W3CDTF">2024-09-27T11:02:00Z</dcterms:modified>
  <cp:category/>
</cp:coreProperties>
</file>