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F47FC" w14:textId="52C0F955" w:rsidR="00EA5CA6" w:rsidRDefault="00EA5CA6" w:rsidP="0008271D">
      <w:pPr>
        <w:spacing w:line="360" w:lineRule="auto"/>
        <w:jc w:val="center"/>
        <w:rPr>
          <w:rFonts w:ascii="Times New Roman" w:eastAsia="Montserrat" w:hAnsi="Times New Roman" w:cs="Times New Roman"/>
          <w:sz w:val="40"/>
          <w:szCs w:val="40"/>
        </w:rPr>
      </w:pPr>
      <w:r>
        <w:rPr>
          <w:rFonts w:ascii="Times New Roman" w:eastAsia="Montserrat" w:hAnsi="Times New Roman" w:cs="Times New Roman"/>
          <w:sz w:val="40"/>
          <w:szCs w:val="40"/>
        </w:rPr>
        <w:t>Information Checklist</w:t>
      </w:r>
    </w:p>
    <w:p w14:paraId="3AB9511E" w14:textId="77B9E8A2" w:rsidR="0008271D" w:rsidRDefault="00E649C2" w:rsidP="00EA5CA6">
      <w:pPr>
        <w:spacing w:line="360" w:lineRule="auto"/>
        <w:jc w:val="center"/>
        <w:rPr>
          <w:rFonts w:ascii="Times New Roman" w:eastAsia="Montserrat" w:hAnsi="Times New Roman" w:cs="Times New Roman"/>
          <w:sz w:val="40"/>
          <w:szCs w:val="40"/>
        </w:rPr>
      </w:pPr>
      <w:r>
        <w:rPr>
          <w:rFonts w:ascii="Times New Roman" w:eastAsia="Montserrat" w:hAnsi="Times New Roman" w:cs="Times New Roman"/>
          <w:sz w:val="40"/>
          <w:szCs w:val="40"/>
        </w:rPr>
        <w:t>Mutual</w:t>
      </w:r>
      <w:r w:rsidR="00EA5CA6">
        <w:rPr>
          <w:rFonts w:ascii="Times New Roman" w:eastAsia="Montserrat" w:hAnsi="Times New Roman" w:cs="Times New Roman"/>
          <w:sz w:val="40"/>
          <w:szCs w:val="40"/>
        </w:rPr>
        <w:t xml:space="preserve"> </w:t>
      </w:r>
      <w:r w:rsidR="0008271D" w:rsidRPr="001011C6">
        <w:rPr>
          <w:rFonts w:ascii="Times New Roman" w:eastAsia="Montserrat" w:hAnsi="Times New Roman" w:cs="Times New Roman"/>
          <w:sz w:val="40"/>
          <w:szCs w:val="40"/>
        </w:rPr>
        <w:t>Non-Disclosure Agreement</w:t>
      </w:r>
    </w:p>
    <w:p w14:paraId="759CD514" w14:textId="53920FAC" w:rsidR="00EA5CA6" w:rsidRPr="00EA5CA6" w:rsidRDefault="00EA5CA6" w:rsidP="00EA5CA6">
      <w:pPr>
        <w:spacing w:line="360" w:lineRule="auto"/>
        <w:jc w:val="both"/>
        <w:rPr>
          <w:rFonts w:ascii="Times New Roman" w:eastAsia="Montserrat" w:hAnsi="Times New Roman" w:cs="Times New Roman"/>
          <w:sz w:val="22"/>
          <w:szCs w:val="22"/>
        </w:rPr>
      </w:pPr>
      <w:r w:rsidRPr="00EA5CA6">
        <w:rPr>
          <w:rFonts w:ascii="Times New Roman" w:eastAsia="Montserrat" w:hAnsi="Times New Roman" w:cs="Times New Roman"/>
          <w:sz w:val="22"/>
          <w:szCs w:val="22"/>
        </w:rPr>
        <w:t xml:space="preserve">This Non-Disclosure Agreement (NDA) Checklist is designed to streamline the process of completing a </w:t>
      </w:r>
      <w:r w:rsidR="00E649C2">
        <w:rPr>
          <w:rFonts w:ascii="Times New Roman" w:eastAsia="Montserrat" w:hAnsi="Times New Roman" w:cs="Times New Roman"/>
          <w:sz w:val="22"/>
          <w:szCs w:val="22"/>
        </w:rPr>
        <w:t>mutual</w:t>
      </w:r>
      <w:r w:rsidRPr="00EA5CA6">
        <w:rPr>
          <w:rFonts w:ascii="Times New Roman" w:eastAsia="Montserrat" w:hAnsi="Times New Roman" w:cs="Times New Roman"/>
          <w:sz w:val="22"/>
          <w:szCs w:val="22"/>
        </w:rPr>
        <w:t xml:space="preserve"> NDA template. It guides legal professionals through gathering the necessary information and obtaining client instructions on negotiable clauses, ensuring that the NDA is both comprehensive and tailored to the client's needs.</w:t>
      </w:r>
      <w:r w:rsidRPr="00564622">
        <w:rPr>
          <w:rFonts w:ascii="Times New Roman" w:eastAsia="Montserrat" w:hAnsi="Times New Roman" w:cs="Times New Roman"/>
          <w:sz w:val="22"/>
          <w:szCs w:val="22"/>
        </w:rPr>
        <w:t xml:space="preserve"> </w:t>
      </w:r>
      <w:r w:rsidRPr="00EA5CA6">
        <w:rPr>
          <w:rFonts w:ascii="Times New Roman" w:eastAsia="Montserrat" w:hAnsi="Times New Roman" w:cs="Times New Roman"/>
          <w:sz w:val="22"/>
          <w:szCs w:val="22"/>
        </w:rPr>
        <w:t>The checklist highlights key clauses where client input is essential</w:t>
      </w:r>
      <w:r w:rsidR="00564622" w:rsidRPr="00564622">
        <w:rPr>
          <w:rFonts w:ascii="Times New Roman" w:eastAsia="Montserrat" w:hAnsi="Times New Roman" w:cs="Times New Roman"/>
          <w:sz w:val="22"/>
          <w:szCs w:val="22"/>
        </w:rPr>
        <w:t>.</w:t>
      </w:r>
      <w:r w:rsidRPr="00EA5CA6">
        <w:rPr>
          <w:rFonts w:ascii="Times New Roman" w:eastAsia="Montserrat" w:hAnsi="Times New Roman" w:cs="Times New Roman"/>
          <w:sz w:val="22"/>
          <w:szCs w:val="22"/>
        </w:rPr>
        <w:t xml:space="preserve"> This checklist serves as a practical companion to the NDA template, ensuring a well-drafted and enforceable agreement.</w:t>
      </w:r>
    </w:p>
    <w:tbl>
      <w:tblPr>
        <w:tblStyle w:val="TableGrid"/>
        <w:tblW w:w="0" w:type="auto"/>
        <w:tblLook w:val="04A0" w:firstRow="1" w:lastRow="0" w:firstColumn="1" w:lastColumn="0" w:noHBand="0" w:noVBand="1"/>
      </w:tblPr>
      <w:tblGrid>
        <w:gridCol w:w="999"/>
        <w:gridCol w:w="6493"/>
        <w:gridCol w:w="1518"/>
      </w:tblGrid>
      <w:tr w:rsidR="00D068E5" w:rsidRPr="001011C6" w14:paraId="1920CEEB" w14:textId="77777777" w:rsidTr="00EA5CA6">
        <w:tc>
          <w:tcPr>
            <w:tcW w:w="999" w:type="dxa"/>
            <w:shd w:val="clear" w:color="auto" w:fill="C0C0C0"/>
          </w:tcPr>
          <w:p w14:paraId="6FCB073F" w14:textId="10DC81BB" w:rsidR="00D068E5" w:rsidRPr="001011C6" w:rsidRDefault="00D068E5" w:rsidP="001011C6">
            <w:pPr>
              <w:spacing w:line="360" w:lineRule="auto"/>
              <w:rPr>
                <w:rFonts w:ascii="Times New Roman" w:hAnsi="Times New Roman" w:cs="Times New Roman"/>
                <w:b/>
                <w:bCs/>
                <w:sz w:val="22"/>
                <w:szCs w:val="22"/>
              </w:rPr>
            </w:pPr>
            <w:r w:rsidRPr="001011C6">
              <w:rPr>
                <w:rFonts w:ascii="Times New Roman" w:hAnsi="Times New Roman" w:cs="Times New Roman"/>
                <w:b/>
                <w:bCs/>
                <w:sz w:val="22"/>
                <w:szCs w:val="22"/>
              </w:rPr>
              <w:t>Number</w:t>
            </w:r>
          </w:p>
        </w:tc>
        <w:tc>
          <w:tcPr>
            <w:tcW w:w="6493" w:type="dxa"/>
            <w:shd w:val="clear" w:color="auto" w:fill="C0C0C0"/>
          </w:tcPr>
          <w:p w14:paraId="5AE1DFEA" w14:textId="4B8ADB3A" w:rsidR="00D068E5" w:rsidRPr="001011C6" w:rsidRDefault="00D068E5" w:rsidP="001011C6">
            <w:pPr>
              <w:spacing w:line="360" w:lineRule="auto"/>
              <w:rPr>
                <w:rFonts w:ascii="Times New Roman" w:hAnsi="Times New Roman" w:cs="Times New Roman"/>
                <w:b/>
                <w:bCs/>
                <w:sz w:val="22"/>
                <w:szCs w:val="22"/>
              </w:rPr>
            </w:pPr>
            <w:r w:rsidRPr="001011C6">
              <w:rPr>
                <w:rFonts w:ascii="Times New Roman" w:hAnsi="Times New Roman" w:cs="Times New Roman"/>
                <w:b/>
                <w:bCs/>
                <w:sz w:val="22"/>
                <w:szCs w:val="22"/>
              </w:rPr>
              <w:t>Information Required</w:t>
            </w:r>
          </w:p>
        </w:tc>
        <w:tc>
          <w:tcPr>
            <w:tcW w:w="1518" w:type="dxa"/>
            <w:shd w:val="clear" w:color="auto" w:fill="C0C0C0"/>
          </w:tcPr>
          <w:p w14:paraId="265800BB" w14:textId="327ADFE8" w:rsidR="00D068E5" w:rsidRPr="001011C6" w:rsidRDefault="00D068E5" w:rsidP="001011C6">
            <w:pPr>
              <w:spacing w:line="360" w:lineRule="auto"/>
              <w:rPr>
                <w:rFonts w:ascii="Times New Roman" w:hAnsi="Times New Roman" w:cs="Times New Roman"/>
                <w:b/>
                <w:bCs/>
                <w:sz w:val="22"/>
                <w:szCs w:val="22"/>
              </w:rPr>
            </w:pPr>
            <w:r w:rsidRPr="001011C6">
              <w:rPr>
                <w:rFonts w:ascii="Times New Roman" w:hAnsi="Times New Roman" w:cs="Times New Roman"/>
                <w:b/>
                <w:bCs/>
                <w:sz w:val="22"/>
                <w:szCs w:val="22"/>
              </w:rPr>
              <w:t>Answer</w:t>
            </w:r>
          </w:p>
        </w:tc>
      </w:tr>
      <w:tr w:rsidR="00D068E5" w:rsidRPr="001011C6" w14:paraId="69004D6B" w14:textId="7B83759D" w:rsidTr="001011C6">
        <w:tc>
          <w:tcPr>
            <w:tcW w:w="9010" w:type="dxa"/>
            <w:gridSpan w:val="3"/>
          </w:tcPr>
          <w:p w14:paraId="7D44034A" w14:textId="4DA17D3B"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b/>
                <w:bCs/>
                <w:sz w:val="22"/>
                <w:szCs w:val="22"/>
              </w:rPr>
              <w:t>Part 1: Information Required to Complete the NDA</w:t>
            </w:r>
          </w:p>
        </w:tc>
      </w:tr>
      <w:tr w:rsidR="00D068E5" w:rsidRPr="001011C6" w14:paraId="5CB1D67E" w14:textId="353F2672" w:rsidTr="00EA5CA6">
        <w:tc>
          <w:tcPr>
            <w:tcW w:w="999" w:type="dxa"/>
            <w:shd w:val="clear" w:color="auto" w:fill="D9D9D9" w:themeFill="background1" w:themeFillShade="D9"/>
          </w:tcPr>
          <w:p w14:paraId="1CCA6025" w14:textId="5442A78E" w:rsidR="00D068E5" w:rsidRPr="001011C6"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BA6E527" w14:textId="3AE275B4"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b/>
                <w:bCs/>
                <w:sz w:val="22"/>
                <w:szCs w:val="22"/>
              </w:rPr>
              <w:t>Effective Date</w:t>
            </w:r>
          </w:p>
        </w:tc>
        <w:tc>
          <w:tcPr>
            <w:tcW w:w="1518" w:type="dxa"/>
            <w:shd w:val="clear" w:color="auto" w:fill="D9D9D9" w:themeFill="background1" w:themeFillShade="D9"/>
          </w:tcPr>
          <w:p w14:paraId="52B2A0EE"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6AA72FB3" w14:textId="29D4A92C" w:rsidTr="00EA5CA6">
        <w:tc>
          <w:tcPr>
            <w:tcW w:w="999" w:type="dxa"/>
          </w:tcPr>
          <w:p w14:paraId="4DA102D0"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2D7E8AFF" w14:textId="7939C09B"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sz w:val="22"/>
                <w:szCs w:val="22"/>
              </w:rPr>
              <w:t>Date the agreement will begin</w:t>
            </w:r>
          </w:p>
        </w:tc>
        <w:tc>
          <w:tcPr>
            <w:tcW w:w="1518" w:type="dxa"/>
          </w:tcPr>
          <w:p w14:paraId="5E6AC73D"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1E37F2B6" w14:textId="416A4939" w:rsidTr="00EA5CA6">
        <w:tc>
          <w:tcPr>
            <w:tcW w:w="999" w:type="dxa"/>
            <w:shd w:val="clear" w:color="auto" w:fill="D9D9D9" w:themeFill="background1" w:themeFillShade="D9"/>
          </w:tcPr>
          <w:p w14:paraId="542C9389" w14:textId="4171C057" w:rsidR="00D068E5" w:rsidRPr="001011C6"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2ADDE8C7" w14:textId="34F5C8FE"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b/>
                <w:bCs/>
                <w:sz w:val="22"/>
                <w:szCs w:val="22"/>
              </w:rPr>
              <w:t>Parties Involved</w:t>
            </w:r>
          </w:p>
        </w:tc>
        <w:tc>
          <w:tcPr>
            <w:tcW w:w="1518" w:type="dxa"/>
            <w:shd w:val="clear" w:color="auto" w:fill="D9D9D9" w:themeFill="background1" w:themeFillShade="D9"/>
          </w:tcPr>
          <w:p w14:paraId="2587F649"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7F2479A5" w14:textId="6C001B8B" w:rsidTr="00EA5CA6">
        <w:tc>
          <w:tcPr>
            <w:tcW w:w="999" w:type="dxa"/>
          </w:tcPr>
          <w:p w14:paraId="188F8A92"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6366F07B" w14:textId="240D8E60"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 xml:space="preserve">Name of the </w:t>
            </w:r>
            <w:r w:rsidR="00693361">
              <w:rPr>
                <w:rFonts w:ascii="Times New Roman" w:hAnsi="Times New Roman" w:cs="Times New Roman"/>
                <w:sz w:val="22"/>
                <w:szCs w:val="22"/>
              </w:rPr>
              <w:t>First Party</w:t>
            </w:r>
            <w:r w:rsidRPr="001011C6">
              <w:rPr>
                <w:rFonts w:ascii="Times New Roman" w:hAnsi="Times New Roman" w:cs="Times New Roman"/>
                <w:sz w:val="22"/>
                <w:szCs w:val="22"/>
              </w:rPr>
              <w:t xml:space="preserve"> </w:t>
            </w:r>
          </w:p>
        </w:tc>
        <w:tc>
          <w:tcPr>
            <w:tcW w:w="1518" w:type="dxa"/>
          </w:tcPr>
          <w:p w14:paraId="5B2D9935"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168C5086" w14:textId="7F5B6DE0" w:rsidTr="00EA5CA6">
        <w:tc>
          <w:tcPr>
            <w:tcW w:w="999" w:type="dxa"/>
          </w:tcPr>
          <w:p w14:paraId="4F913F62"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355B9C6A" w14:textId="1B5338E1" w:rsidR="00D068E5" w:rsidRPr="001011C6" w:rsidRDefault="00693361" w:rsidP="001011C6">
            <w:pPr>
              <w:spacing w:line="360" w:lineRule="auto"/>
              <w:jc w:val="both"/>
              <w:rPr>
                <w:rFonts w:ascii="Times New Roman" w:hAnsi="Times New Roman" w:cs="Times New Roman"/>
                <w:sz w:val="22"/>
                <w:szCs w:val="22"/>
              </w:rPr>
            </w:pPr>
            <w:r>
              <w:rPr>
                <w:rFonts w:ascii="Times New Roman" w:hAnsi="Times New Roman" w:cs="Times New Roman"/>
                <w:sz w:val="22"/>
                <w:szCs w:val="22"/>
              </w:rPr>
              <w:t>First Party</w:t>
            </w:r>
            <w:r w:rsidR="00D068E5" w:rsidRPr="001011C6">
              <w:rPr>
                <w:rFonts w:ascii="Times New Roman" w:hAnsi="Times New Roman" w:cs="Times New Roman"/>
                <w:sz w:val="22"/>
                <w:szCs w:val="22"/>
              </w:rPr>
              <w:t>'s registered office address</w:t>
            </w:r>
          </w:p>
        </w:tc>
        <w:tc>
          <w:tcPr>
            <w:tcW w:w="1518" w:type="dxa"/>
          </w:tcPr>
          <w:p w14:paraId="71933298"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4F0BA685" w14:textId="3708D3C0" w:rsidTr="00EA5CA6">
        <w:tc>
          <w:tcPr>
            <w:tcW w:w="999" w:type="dxa"/>
          </w:tcPr>
          <w:p w14:paraId="42802003"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1FF9D922" w14:textId="518D66E5"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 xml:space="preserve">Name of the </w:t>
            </w:r>
            <w:r w:rsidR="00693361">
              <w:rPr>
                <w:rFonts w:ascii="Times New Roman" w:hAnsi="Times New Roman" w:cs="Times New Roman"/>
                <w:sz w:val="22"/>
                <w:szCs w:val="22"/>
              </w:rPr>
              <w:t>Second Party</w:t>
            </w:r>
          </w:p>
        </w:tc>
        <w:tc>
          <w:tcPr>
            <w:tcW w:w="1518" w:type="dxa"/>
          </w:tcPr>
          <w:p w14:paraId="68B04131"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5AC5C704" w14:textId="4CC1E9D7" w:rsidTr="00EA5CA6">
        <w:tc>
          <w:tcPr>
            <w:tcW w:w="999" w:type="dxa"/>
          </w:tcPr>
          <w:p w14:paraId="17552ED3"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0D002CDD" w14:textId="298027D3" w:rsidR="00D068E5" w:rsidRPr="001011C6" w:rsidRDefault="00693361" w:rsidP="001011C6">
            <w:pPr>
              <w:spacing w:line="360" w:lineRule="auto"/>
              <w:jc w:val="both"/>
              <w:rPr>
                <w:rFonts w:ascii="Times New Roman" w:hAnsi="Times New Roman" w:cs="Times New Roman"/>
                <w:sz w:val="22"/>
                <w:szCs w:val="22"/>
              </w:rPr>
            </w:pPr>
            <w:r>
              <w:rPr>
                <w:rFonts w:ascii="Times New Roman" w:hAnsi="Times New Roman" w:cs="Times New Roman"/>
                <w:sz w:val="22"/>
                <w:szCs w:val="22"/>
              </w:rPr>
              <w:t>Second Party</w:t>
            </w:r>
            <w:r w:rsidR="00D068E5" w:rsidRPr="001011C6">
              <w:rPr>
                <w:rFonts w:ascii="Times New Roman" w:hAnsi="Times New Roman" w:cs="Times New Roman"/>
                <w:sz w:val="22"/>
                <w:szCs w:val="22"/>
              </w:rPr>
              <w:t>'s registered office address</w:t>
            </w:r>
          </w:p>
        </w:tc>
        <w:tc>
          <w:tcPr>
            <w:tcW w:w="1518" w:type="dxa"/>
          </w:tcPr>
          <w:p w14:paraId="4634AC4E"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32C7D7D2" w14:textId="6DC305F3" w:rsidTr="00EA5CA6">
        <w:tc>
          <w:tcPr>
            <w:tcW w:w="999" w:type="dxa"/>
            <w:shd w:val="clear" w:color="auto" w:fill="D9D9D9" w:themeFill="background1" w:themeFillShade="D9"/>
          </w:tcPr>
          <w:p w14:paraId="16A45ADA" w14:textId="5FC2936F" w:rsidR="00D068E5" w:rsidRPr="001011C6"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7070CF26" w14:textId="39F211DF"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b/>
                <w:bCs/>
                <w:sz w:val="22"/>
                <w:szCs w:val="22"/>
              </w:rPr>
              <w:t>Corporate Information</w:t>
            </w:r>
          </w:p>
        </w:tc>
        <w:tc>
          <w:tcPr>
            <w:tcW w:w="1518" w:type="dxa"/>
            <w:shd w:val="clear" w:color="auto" w:fill="D9D9D9" w:themeFill="background1" w:themeFillShade="D9"/>
          </w:tcPr>
          <w:p w14:paraId="6DC81E68"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5EF1E88E" w14:textId="3143619C" w:rsidTr="00EA5CA6">
        <w:tc>
          <w:tcPr>
            <w:tcW w:w="999" w:type="dxa"/>
          </w:tcPr>
          <w:p w14:paraId="7A34E69A"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37AF663C" w14:textId="22AB785E" w:rsidR="00D068E5" w:rsidRPr="001011C6" w:rsidRDefault="00693361" w:rsidP="001011C6">
            <w:pPr>
              <w:spacing w:line="360" w:lineRule="auto"/>
              <w:jc w:val="both"/>
              <w:rPr>
                <w:rFonts w:ascii="Times New Roman" w:hAnsi="Times New Roman" w:cs="Times New Roman"/>
                <w:sz w:val="22"/>
                <w:szCs w:val="22"/>
              </w:rPr>
            </w:pPr>
            <w:r>
              <w:rPr>
                <w:rFonts w:ascii="Times New Roman" w:hAnsi="Times New Roman" w:cs="Times New Roman"/>
                <w:sz w:val="22"/>
                <w:szCs w:val="22"/>
              </w:rPr>
              <w:t>First Party</w:t>
            </w:r>
            <w:r w:rsidR="00D068E5" w:rsidRPr="001011C6">
              <w:rPr>
                <w:rFonts w:ascii="Times New Roman" w:hAnsi="Times New Roman" w:cs="Times New Roman"/>
                <w:sz w:val="22"/>
                <w:szCs w:val="22"/>
              </w:rPr>
              <w:t>’s legal incorporation details</w:t>
            </w:r>
          </w:p>
        </w:tc>
        <w:tc>
          <w:tcPr>
            <w:tcW w:w="1518" w:type="dxa"/>
          </w:tcPr>
          <w:p w14:paraId="010471D2"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48A25297" w14:textId="228F3818" w:rsidTr="00EA5CA6">
        <w:tc>
          <w:tcPr>
            <w:tcW w:w="999" w:type="dxa"/>
          </w:tcPr>
          <w:p w14:paraId="6BC1B177"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01738AD9" w14:textId="3E2B0948" w:rsidR="00D068E5" w:rsidRPr="001011C6" w:rsidRDefault="00693361" w:rsidP="001011C6">
            <w:pPr>
              <w:spacing w:line="360" w:lineRule="auto"/>
              <w:jc w:val="both"/>
              <w:rPr>
                <w:rFonts w:ascii="Times New Roman" w:hAnsi="Times New Roman" w:cs="Times New Roman"/>
                <w:sz w:val="22"/>
                <w:szCs w:val="22"/>
              </w:rPr>
            </w:pPr>
            <w:r>
              <w:rPr>
                <w:rFonts w:ascii="Times New Roman" w:hAnsi="Times New Roman" w:cs="Times New Roman"/>
                <w:sz w:val="22"/>
                <w:szCs w:val="22"/>
              </w:rPr>
              <w:t>Second Party</w:t>
            </w:r>
            <w:r w:rsidR="00D068E5" w:rsidRPr="001011C6">
              <w:rPr>
                <w:rFonts w:ascii="Times New Roman" w:hAnsi="Times New Roman" w:cs="Times New Roman"/>
                <w:sz w:val="22"/>
                <w:szCs w:val="22"/>
              </w:rPr>
              <w:t>’s legal incorporation details</w:t>
            </w:r>
          </w:p>
        </w:tc>
        <w:tc>
          <w:tcPr>
            <w:tcW w:w="1518" w:type="dxa"/>
          </w:tcPr>
          <w:p w14:paraId="6B67AA0A"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479638A0" w14:textId="02F32541" w:rsidTr="00EA5CA6">
        <w:tc>
          <w:tcPr>
            <w:tcW w:w="999" w:type="dxa"/>
            <w:shd w:val="clear" w:color="auto" w:fill="D9D9D9" w:themeFill="background1" w:themeFillShade="D9"/>
          </w:tcPr>
          <w:p w14:paraId="31094102" w14:textId="0AF1D0F1" w:rsidR="00D068E5" w:rsidRPr="001011C6"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164747B2" w14:textId="00C2176C"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b/>
                <w:bCs/>
                <w:sz w:val="22"/>
                <w:szCs w:val="22"/>
              </w:rPr>
              <w:t>Confidentiality Period</w:t>
            </w:r>
          </w:p>
        </w:tc>
        <w:tc>
          <w:tcPr>
            <w:tcW w:w="1518" w:type="dxa"/>
            <w:shd w:val="clear" w:color="auto" w:fill="D9D9D9" w:themeFill="background1" w:themeFillShade="D9"/>
          </w:tcPr>
          <w:p w14:paraId="44E8E1CA"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55F47475" w14:textId="352ADE8C" w:rsidTr="00EA5CA6">
        <w:tc>
          <w:tcPr>
            <w:tcW w:w="999" w:type="dxa"/>
          </w:tcPr>
          <w:p w14:paraId="35899D77"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69073E78" w14:textId="7FE59527"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Term of confidentiality obligations (e.g., number of years from the Effective Date)</w:t>
            </w:r>
          </w:p>
        </w:tc>
        <w:tc>
          <w:tcPr>
            <w:tcW w:w="1518" w:type="dxa"/>
          </w:tcPr>
          <w:p w14:paraId="48A87B5F"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7CE07181" w14:textId="0291D58A" w:rsidTr="00EA5CA6">
        <w:tc>
          <w:tcPr>
            <w:tcW w:w="999" w:type="dxa"/>
          </w:tcPr>
          <w:p w14:paraId="4552DCAC"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1E2497CE" w14:textId="5F17CE2E"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sz w:val="22"/>
                <w:szCs w:val="22"/>
              </w:rPr>
              <w:t>Specific handling of Trade Secrets</w:t>
            </w:r>
          </w:p>
        </w:tc>
        <w:tc>
          <w:tcPr>
            <w:tcW w:w="1518" w:type="dxa"/>
          </w:tcPr>
          <w:p w14:paraId="2FB9C36F"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50D59AB6" w14:textId="048B4AED" w:rsidTr="00EA5CA6">
        <w:tc>
          <w:tcPr>
            <w:tcW w:w="999" w:type="dxa"/>
            <w:shd w:val="clear" w:color="auto" w:fill="D9D9D9" w:themeFill="background1" w:themeFillShade="D9"/>
          </w:tcPr>
          <w:p w14:paraId="721720ED" w14:textId="7690AA05" w:rsidR="00D068E5" w:rsidRPr="001011C6"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96F607E" w14:textId="16E88A87"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b/>
                <w:bCs/>
                <w:sz w:val="22"/>
                <w:szCs w:val="22"/>
              </w:rPr>
              <w:t>Disclosure Mechanism</w:t>
            </w:r>
          </w:p>
        </w:tc>
        <w:tc>
          <w:tcPr>
            <w:tcW w:w="1518" w:type="dxa"/>
            <w:shd w:val="clear" w:color="auto" w:fill="D9D9D9" w:themeFill="background1" w:themeFillShade="D9"/>
          </w:tcPr>
          <w:p w14:paraId="6EC62928"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0144AD76" w14:textId="4325D32D" w:rsidTr="00EA5CA6">
        <w:tc>
          <w:tcPr>
            <w:tcW w:w="999" w:type="dxa"/>
          </w:tcPr>
          <w:p w14:paraId="339A4C6E"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2D9D2943" w14:textId="1C2F76C7"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Timeframe for documenting oral or visual disclosure (e.g., within [number of days] Business Days)</w:t>
            </w:r>
          </w:p>
        </w:tc>
        <w:tc>
          <w:tcPr>
            <w:tcW w:w="1518" w:type="dxa"/>
          </w:tcPr>
          <w:p w14:paraId="1D2331B4"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3AEA6C73" w14:textId="6A367D63" w:rsidTr="00EA5CA6">
        <w:tc>
          <w:tcPr>
            <w:tcW w:w="999" w:type="dxa"/>
            <w:shd w:val="clear" w:color="auto" w:fill="D9D9D9" w:themeFill="background1" w:themeFillShade="D9"/>
          </w:tcPr>
          <w:p w14:paraId="71CFD5D9" w14:textId="7629B619" w:rsidR="00D068E5" w:rsidRPr="001011C6"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2BF2B3C" w14:textId="4172F28D"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b/>
                <w:bCs/>
                <w:sz w:val="22"/>
                <w:szCs w:val="22"/>
              </w:rPr>
              <w:t>Return of Confidential Information</w:t>
            </w:r>
          </w:p>
        </w:tc>
        <w:tc>
          <w:tcPr>
            <w:tcW w:w="1518" w:type="dxa"/>
            <w:shd w:val="clear" w:color="auto" w:fill="D9D9D9" w:themeFill="background1" w:themeFillShade="D9"/>
          </w:tcPr>
          <w:p w14:paraId="4775253E"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506E94F0" w14:textId="74229309" w:rsidTr="00EA5CA6">
        <w:tc>
          <w:tcPr>
            <w:tcW w:w="999" w:type="dxa"/>
          </w:tcPr>
          <w:p w14:paraId="73463EB4"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4E4F39F0" w14:textId="4095AC6B"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Deadline for return/destruction of confidential information after request (number of days)</w:t>
            </w:r>
          </w:p>
        </w:tc>
        <w:tc>
          <w:tcPr>
            <w:tcW w:w="1518" w:type="dxa"/>
          </w:tcPr>
          <w:p w14:paraId="6D6FC677"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7084439C" w14:textId="741DA95B" w:rsidTr="00EA5CA6">
        <w:tc>
          <w:tcPr>
            <w:tcW w:w="999" w:type="dxa"/>
            <w:shd w:val="clear" w:color="auto" w:fill="D9D9D9" w:themeFill="background1" w:themeFillShade="D9"/>
          </w:tcPr>
          <w:p w14:paraId="06F362E6" w14:textId="515F4ED0" w:rsidR="00D068E5" w:rsidRPr="001011C6"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3D54927B" w14:textId="68E07B9F"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b/>
                <w:bCs/>
                <w:sz w:val="22"/>
                <w:szCs w:val="22"/>
              </w:rPr>
              <w:t>Audit Rights</w:t>
            </w:r>
          </w:p>
        </w:tc>
        <w:tc>
          <w:tcPr>
            <w:tcW w:w="1518" w:type="dxa"/>
            <w:shd w:val="clear" w:color="auto" w:fill="D9D9D9" w:themeFill="background1" w:themeFillShade="D9"/>
          </w:tcPr>
          <w:p w14:paraId="30F6F814"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55E3F5EB" w14:textId="0D97E006" w:rsidTr="00EA5CA6">
        <w:tc>
          <w:tcPr>
            <w:tcW w:w="999" w:type="dxa"/>
          </w:tcPr>
          <w:p w14:paraId="3E46B29B"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1D22AA17" w14:textId="44F0081E"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Duration for which the Recipient must maintain records for potential audit (e.g., [number of days/weeks/months/years])</w:t>
            </w:r>
          </w:p>
        </w:tc>
        <w:tc>
          <w:tcPr>
            <w:tcW w:w="1518" w:type="dxa"/>
          </w:tcPr>
          <w:p w14:paraId="167A07F8"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248E978F" w14:textId="62907B00" w:rsidTr="00EA5CA6">
        <w:tc>
          <w:tcPr>
            <w:tcW w:w="999" w:type="dxa"/>
          </w:tcPr>
          <w:p w14:paraId="344B896C"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255E0FBD" w14:textId="4527521E"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Advance notice period for audits (e.g., [number of days/hours])</w:t>
            </w:r>
          </w:p>
        </w:tc>
        <w:tc>
          <w:tcPr>
            <w:tcW w:w="1518" w:type="dxa"/>
          </w:tcPr>
          <w:p w14:paraId="5BCB9AE5"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2CE96FF7" w14:textId="2D02329C" w:rsidTr="00EA5CA6">
        <w:tc>
          <w:tcPr>
            <w:tcW w:w="999" w:type="dxa"/>
            <w:shd w:val="clear" w:color="auto" w:fill="D9D9D9" w:themeFill="background1" w:themeFillShade="D9"/>
          </w:tcPr>
          <w:p w14:paraId="4BA54042" w14:textId="72B91A50" w:rsidR="00D068E5" w:rsidRPr="001011C6"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D5910E2" w14:textId="50E3BBB7"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b/>
                <w:bCs/>
                <w:sz w:val="22"/>
                <w:szCs w:val="22"/>
              </w:rPr>
              <w:t>Notices</w:t>
            </w:r>
          </w:p>
        </w:tc>
        <w:tc>
          <w:tcPr>
            <w:tcW w:w="1518" w:type="dxa"/>
            <w:shd w:val="clear" w:color="auto" w:fill="D9D9D9" w:themeFill="background1" w:themeFillShade="D9"/>
          </w:tcPr>
          <w:p w14:paraId="485C6855"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4C57D915" w14:textId="1C1B60AB" w:rsidTr="00EA5CA6">
        <w:tc>
          <w:tcPr>
            <w:tcW w:w="999" w:type="dxa"/>
          </w:tcPr>
          <w:p w14:paraId="793F584A"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1279239C" w14:textId="1796B50F" w:rsidR="00D068E5" w:rsidRPr="001011C6" w:rsidRDefault="00693361" w:rsidP="001011C6">
            <w:pPr>
              <w:spacing w:line="360" w:lineRule="auto"/>
              <w:jc w:val="both"/>
              <w:rPr>
                <w:rFonts w:ascii="Times New Roman" w:hAnsi="Times New Roman" w:cs="Times New Roman"/>
                <w:sz w:val="22"/>
                <w:szCs w:val="22"/>
              </w:rPr>
            </w:pPr>
            <w:r>
              <w:rPr>
                <w:rFonts w:ascii="Times New Roman" w:hAnsi="Times New Roman" w:cs="Times New Roman"/>
                <w:sz w:val="22"/>
                <w:szCs w:val="22"/>
              </w:rPr>
              <w:t>First Party</w:t>
            </w:r>
            <w:r w:rsidR="00D068E5" w:rsidRPr="001011C6">
              <w:rPr>
                <w:rFonts w:ascii="Times New Roman" w:hAnsi="Times New Roman" w:cs="Times New Roman"/>
                <w:sz w:val="22"/>
                <w:szCs w:val="22"/>
              </w:rPr>
              <w:t>’s contact for notices (Name, email, address)</w:t>
            </w:r>
          </w:p>
        </w:tc>
        <w:tc>
          <w:tcPr>
            <w:tcW w:w="1518" w:type="dxa"/>
          </w:tcPr>
          <w:p w14:paraId="61584727"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06410B61" w14:textId="12AE8481" w:rsidTr="00EA5CA6">
        <w:tc>
          <w:tcPr>
            <w:tcW w:w="999" w:type="dxa"/>
          </w:tcPr>
          <w:p w14:paraId="25A3A8AB"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612FEA6C" w14:textId="204ABA18" w:rsidR="00D068E5" w:rsidRPr="001011C6" w:rsidRDefault="00693361" w:rsidP="001011C6">
            <w:pPr>
              <w:spacing w:line="360" w:lineRule="auto"/>
              <w:jc w:val="both"/>
              <w:rPr>
                <w:rFonts w:ascii="Times New Roman" w:hAnsi="Times New Roman" w:cs="Times New Roman"/>
                <w:sz w:val="22"/>
                <w:szCs w:val="22"/>
              </w:rPr>
            </w:pPr>
            <w:r>
              <w:rPr>
                <w:rFonts w:ascii="Times New Roman" w:hAnsi="Times New Roman" w:cs="Times New Roman"/>
                <w:sz w:val="22"/>
                <w:szCs w:val="22"/>
              </w:rPr>
              <w:t>Second Party</w:t>
            </w:r>
            <w:r w:rsidR="00D068E5" w:rsidRPr="001011C6">
              <w:rPr>
                <w:rFonts w:ascii="Times New Roman" w:hAnsi="Times New Roman" w:cs="Times New Roman"/>
                <w:sz w:val="22"/>
                <w:szCs w:val="22"/>
              </w:rPr>
              <w:t>’s contact for notices (Name, email, address)</w:t>
            </w:r>
          </w:p>
        </w:tc>
        <w:tc>
          <w:tcPr>
            <w:tcW w:w="1518" w:type="dxa"/>
          </w:tcPr>
          <w:p w14:paraId="4C1DFA77"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1F59ED5B" w14:textId="351E8A83" w:rsidTr="00EA5CA6">
        <w:tc>
          <w:tcPr>
            <w:tcW w:w="999" w:type="dxa"/>
            <w:shd w:val="clear" w:color="auto" w:fill="D9D9D9" w:themeFill="background1" w:themeFillShade="D9"/>
          </w:tcPr>
          <w:p w14:paraId="64444795" w14:textId="55BE6224" w:rsidR="00D068E5" w:rsidRPr="001011C6"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85E2910" w14:textId="128A7201"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b/>
                <w:bCs/>
                <w:sz w:val="22"/>
                <w:szCs w:val="22"/>
              </w:rPr>
              <w:t>Governing Law and Jurisdiction</w:t>
            </w:r>
          </w:p>
        </w:tc>
        <w:tc>
          <w:tcPr>
            <w:tcW w:w="1518" w:type="dxa"/>
            <w:shd w:val="clear" w:color="auto" w:fill="D9D9D9" w:themeFill="background1" w:themeFillShade="D9"/>
          </w:tcPr>
          <w:p w14:paraId="6FB490EA"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35465BB0" w14:textId="7D284C3A" w:rsidTr="00EA5CA6">
        <w:tc>
          <w:tcPr>
            <w:tcW w:w="999" w:type="dxa"/>
          </w:tcPr>
          <w:p w14:paraId="4FAD3A37"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57F38BC8" w14:textId="5B6EE2CC"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Place of jurisdiction (City and country in India)</w:t>
            </w:r>
          </w:p>
        </w:tc>
        <w:tc>
          <w:tcPr>
            <w:tcW w:w="1518" w:type="dxa"/>
          </w:tcPr>
          <w:p w14:paraId="0E014A94"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725E8DB7" w14:textId="6296CCD5" w:rsidTr="00EA5CA6">
        <w:tc>
          <w:tcPr>
            <w:tcW w:w="999" w:type="dxa"/>
          </w:tcPr>
          <w:p w14:paraId="4D2542AD"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67383538" w14:textId="47FF9409"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Arbitration venue and number of arbitrators (One/Three)</w:t>
            </w:r>
          </w:p>
        </w:tc>
        <w:tc>
          <w:tcPr>
            <w:tcW w:w="1518" w:type="dxa"/>
          </w:tcPr>
          <w:p w14:paraId="4E3CE2A4"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46595A91" w14:textId="10CF9090" w:rsidTr="00EA5CA6">
        <w:tc>
          <w:tcPr>
            <w:tcW w:w="999" w:type="dxa"/>
          </w:tcPr>
          <w:p w14:paraId="0A5CDFF8"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306FA6A8" w14:textId="25604CE2"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sz w:val="22"/>
                <w:szCs w:val="22"/>
              </w:rPr>
              <w:t>Rate of interest on arbitral awards</w:t>
            </w:r>
          </w:p>
        </w:tc>
        <w:tc>
          <w:tcPr>
            <w:tcW w:w="1518" w:type="dxa"/>
          </w:tcPr>
          <w:p w14:paraId="05E995C5"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6FE942A7" w14:textId="6D23558B" w:rsidTr="001011C6">
        <w:tc>
          <w:tcPr>
            <w:tcW w:w="9010" w:type="dxa"/>
            <w:gridSpan w:val="3"/>
          </w:tcPr>
          <w:p w14:paraId="7F95B16D" w14:textId="7D9FF004" w:rsidR="00D068E5" w:rsidRPr="001011C6" w:rsidRDefault="00D068E5" w:rsidP="001011C6">
            <w:pPr>
              <w:spacing w:line="360" w:lineRule="auto"/>
              <w:rPr>
                <w:rFonts w:ascii="Times New Roman" w:hAnsi="Times New Roman" w:cs="Times New Roman"/>
                <w:sz w:val="22"/>
                <w:szCs w:val="22"/>
              </w:rPr>
            </w:pPr>
            <w:r w:rsidRPr="001011C6">
              <w:rPr>
                <w:rFonts w:ascii="Times New Roman" w:hAnsi="Times New Roman" w:cs="Times New Roman"/>
                <w:b/>
                <w:bCs/>
                <w:sz w:val="22"/>
                <w:szCs w:val="22"/>
              </w:rPr>
              <w:t>Part 2: Client Instructions on Negotiable Clauses (with Explanatory Notes)</w:t>
            </w:r>
          </w:p>
        </w:tc>
      </w:tr>
      <w:tr w:rsidR="00D068E5" w:rsidRPr="001011C6" w14:paraId="6B8B21BE" w14:textId="2CC48D39" w:rsidTr="00EA5CA6">
        <w:tc>
          <w:tcPr>
            <w:tcW w:w="999" w:type="dxa"/>
            <w:shd w:val="clear" w:color="auto" w:fill="D9D9D9" w:themeFill="background1" w:themeFillShade="D9"/>
          </w:tcPr>
          <w:p w14:paraId="69B79553" w14:textId="768460DB" w:rsidR="00D068E5" w:rsidRPr="001011C6" w:rsidRDefault="00D068E5" w:rsidP="001011C6">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62AEEB70" w14:textId="57260C6D" w:rsidR="00D068E5" w:rsidRPr="001011C6" w:rsidRDefault="00D068E5" w:rsidP="001011C6">
            <w:pPr>
              <w:spacing w:line="360" w:lineRule="auto"/>
              <w:rPr>
                <w:rFonts w:ascii="Times New Roman" w:hAnsi="Times New Roman" w:cs="Times New Roman"/>
                <w:b/>
                <w:bCs/>
                <w:sz w:val="22"/>
                <w:szCs w:val="22"/>
              </w:rPr>
            </w:pPr>
            <w:r w:rsidRPr="001011C6">
              <w:rPr>
                <w:rFonts w:ascii="Times New Roman" w:hAnsi="Times New Roman" w:cs="Times New Roman"/>
                <w:b/>
                <w:bCs/>
                <w:sz w:val="22"/>
                <w:szCs w:val="22"/>
              </w:rPr>
              <w:t>Confidentiality Term</w:t>
            </w:r>
          </w:p>
        </w:tc>
        <w:tc>
          <w:tcPr>
            <w:tcW w:w="1518" w:type="dxa"/>
            <w:shd w:val="clear" w:color="auto" w:fill="D9D9D9" w:themeFill="background1" w:themeFillShade="D9"/>
          </w:tcPr>
          <w:p w14:paraId="0B6A8978"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671847DA" w14:textId="11287832" w:rsidTr="00EA5CA6">
        <w:tc>
          <w:tcPr>
            <w:tcW w:w="999" w:type="dxa"/>
          </w:tcPr>
          <w:p w14:paraId="6DC15160"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28638694" w14:textId="7E58D415"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b/>
                <w:bCs/>
                <w:sz w:val="22"/>
                <w:szCs w:val="22"/>
              </w:rPr>
              <w:t xml:space="preserve">Question: </w:t>
            </w:r>
            <w:r w:rsidRPr="001011C6">
              <w:rPr>
                <w:rFonts w:ascii="Times New Roman" w:hAnsi="Times New Roman" w:cs="Times New Roman"/>
                <w:sz w:val="22"/>
                <w:szCs w:val="22"/>
              </w:rPr>
              <w:t xml:space="preserve">How long should the </w:t>
            </w:r>
            <w:r w:rsidR="001C787C">
              <w:rPr>
                <w:rFonts w:ascii="Times New Roman" w:hAnsi="Times New Roman" w:cs="Times New Roman"/>
                <w:sz w:val="22"/>
                <w:szCs w:val="22"/>
              </w:rPr>
              <w:t>Parties</w:t>
            </w:r>
            <w:r w:rsidRPr="001011C6">
              <w:rPr>
                <w:rFonts w:ascii="Times New Roman" w:hAnsi="Times New Roman" w:cs="Times New Roman"/>
                <w:sz w:val="22"/>
                <w:szCs w:val="22"/>
              </w:rPr>
              <w:t xml:space="preserve"> be obligated to maintain confidentiality after the agreement expires? Would you like an indefinite obligation for Trade Secrets, or a fixed term?</w:t>
            </w:r>
          </w:p>
          <w:p w14:paraId="539A721B" w14:textId="0D2EAE0A" w:rsidR="00D068E5" w:rsidRPr="001011C6" w:rsidRDefault="00D068E5" w:rsidP="001011C6">
            <w:pPr>
              <w:spacing w:line="360" w:lineRule="auto"/>
              <w:jc w:val="both"/>
              <w:rPr>
                <w:rFonts w:ascii="Times New Roman" w:hAnsi="Times New Roman" w:cs="Times New Roman"/>
                <w:b/>
                <w:bCs/>
                <w:sz w:val="22"/>
                <w:szCs w:val="22"/>
              </w:rPr>
            </w:pPr>
            <w:r w:rsidRPr="001011C6">
              <w:rPr>
                <w:rFonts w:ascii="Times New Roman" w:hAnsi="Times New Roman" w:cs="Times New Roman"/>
                <w:b/>
                <w:bCs/>
                <w:sz w:val="22"/>
                <w:szCs w:val="22"/>
              </w:rPr>
              <w:t xml:space="preserve">Explanation: </w:t>
            </w:r>
            <w:r w:rsidRPr="001011C6">
              <w:rPr>
                <w:rFonts w:ascii="Times New Roman" w:hAnsi="Times New Roman" w:cs="Times New Roman"/>
                <w:sz w:val="22"/>
                <w:szCs w:val="22"/>
              </w:rPr>
              <w:t>Confidentiality periods are often fixed for general information, but Trade Secrets can be protected indefinitely. Confirm if you prefer to set a time limit for both, or protect Trade Secrets until they no longer hold commercial value.</w:t>
            </w:r>
          </w:p>
        </w:tc>
        <w:tc>
          <w:tcPr>
            <w:tcW w:w="1518" w:type="dxa"/>
          </w:tcPr>
          <w:p w14:paraId="5897C119" w14:textId="77777777" w:rsidR="00D068E5" w:rsidRPr="001011C6" w:rsidRDefault="00D068E5" w:rsidP="001011C6">
            <w:pPr>
              <w:spacing w:line="360" w:lineRule="auto"/>
              <w:ind w:left="360"/>
              <w:rPr>
                <w:rFonts w:ascii="Times New Roman" w:hAnsi="Times New Roman" w:cs="Times New Roman"/>
                <w:sz w:val="22"/>
                <w:szCs w:val="22"/>
              </w:rPr>
            </w:pPr>
          </w:p>
        </w:tc>
      </w:tr>
      <w:tr w:rsidR="00D068E5" w:rsidRPr="001011C6" w14:paraId="39A1A0D9" w14:textId="10DC94B1" w:rsidTr="00EA5CA6">
        <w:tc>
          <w:tcPr>
            <w:tcW w:w="999" w:type="dxa"/>
            <w:shd w:val="clear" w:color="auto" w:fill="D9D9D9" w:themeFill="background1" w:themeFillShade="D9"/>
          </w:tcPr>
          <w:p w14:paraId="47EDBA92" w14:textId="19F2F6FA" w:rsidR="00D068E5" w:rsidRPr="001011C6" w:rsidRDefault="00D068E5" w:rsidP="001011C6">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6EB1E4C1" w14:textId="1188CB58" w:rsidR="00D068E5" w:rsidRPr="001011C6" w:rsidRDefault="00D068E5" w:rsidP="001011C6">
            <w:pPr>
              <w:spacing w:line="360" w:lineRule="auto"/>
              <w:rPr>
                <w:rFonts w:ascii="Times New Roman" w:hAnsi="Times New Roman" w:cs="Times New Roman"/>
                <w:b/>
                <w:bCs/>
                <w:sz w:val="22"/>
                <w:szCs w:val="22"/>
              </w:rPr>
            </w:pPr>
            <w:r w:rsidRPr="001011C6">
              <w:rPr>
                <w:rFonts w:ascii="Times New Roman" w:hAnsi="Times New Roman" w:cs="Times New Roman"/>
                <w:b/>
                <w:bCs/>
                <w:sz w:val="22"/>
                <w:szCs w:val="22"/>
              </w:rPr>
              <w:t>Sharing Confidential Information with Representatives</w:t>
            </w:r>
          </w:p>
        </w:tc>
        <w:tc>
          <w:tcPr>
            <w:tcW w:w="1518" w:type="dxa"/>
            <w:shd w:val="clear" w:color="auto" w:fill="D9D9D9" w:themeFill="background1" w:themeFillShade="D9"/>
          </w:tcPr>
          <w:p w14:paraId="794101AB"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26BC7F44" w14:textId="4DEA063D" w:rsidTr="00EA5CA6">
        <w:tc>
          <w:tcPr>
            <w:tcW w:w="999" w:type="dxa"/>
          </w:tcPr>
          <w:p w14:paraId="61F6732C"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57AB90E4" w14:textId="4B5F1162"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b/>
                <w:bCs/>
                <w:sz w:val="22"/>
                <w:szCs w:val="22"/>
              </w:rPr>
              <w:t xml:space="preserve">Question: </w:t>
            </w:r>
            <w:r w:rsidRPr="001011C6">
              <w:rPr>
                <w:rFonts w:ascii="Times New Roman" w:hAnsi="Times New Roman" w:cs="Times New Roman"/>
                <w:sz w:val="22"/>
                <w:szCs w:val="22"/>
              </w:rPr>
              <w:t xml:space="preserve">Should additional protections or approvals be required before </w:t>
            </w:r>
            <w:r w:rsidR="001C787C">
              <w:rPr>
                <w:rFonts w:ascii="Times New Roman" w:hAnsi="Times New Roman" w:cs="Times New Roman"/>
                <w:sz w:val="22"/>
                <w:szCs w:val="22"/>
              </w:rPr>
              <w:t>either Party</w:t>
            </w:r>
            <w:r w:rsidRPr="001011C6">
              <w:rPr>
                <w:rFonts w:ascii="Times New Roman" w:hAnsi="Times New Roman" w:cs="Times New Roman"/>
                <w:sz w:val="22"/>
                <w:szCs w:val="22"/>
              </w:rPr>
              <w:t xml:space="preserve"> can disclose confidential information to its Representatives (e.g., further written consent, enhanced monitoring)?</w:t>
            </w:r>
          </w:p>
          <w:p w14:paraId="08A46B7E" w14:textId="1E83CFAE" w:rsidR="00D068E5" w:rsidRPr="001011C6" w:rsidRDefault="00D068E5" w:rsidP="001011C6">
            <w:pPr>
              <w:spacing w:line="360" w:lineRule="auto"/>
              <w:jc w:val="both"/>
              <w:rPr>
                <w:rFonts w:ascii="Times New Roman" w:hAnsi="Times New Roman" w:cs="Times New Roman"/>
                <w:b/>
                <w:bCs/>
                <w:sz w:val="22"/>
                <w:szCs w:val="22"/>
              </w:rPr>
            </w:pPr>
            <w:r w:rsidRPr="001011C6">
              <w:rPr>
                <w:rFonts w:ascii="Times New Roman" w:hAnsi="Times New Roman" w:cs="Times New Roman"/>
                <w:b/>
                <w:bCs/>
                <w:sz w:val="22"/>
                <w:szCs w:val="22"/>
              </w:rPr>
              <w:t xml:space="preserve">Explanation: </w:t>
            </w:r>
            <w:r w:rsidR="001C787C" w:rsidRPr="001C787C">
              <w:rPr>
                <w:rFonts w:ascii="Times New Roman" w:hAnsi="Times New Roman" w:cs="Times New Roman"/>
                <w:sz w:val="22"/>
                <w:szCs w:val="22"/>
              </w:rPr>
              <w:t>You may wish to limit how and to whom confidential information is shared within a Party’s organization or third-party advisors to enhance security.</w:t>
            </w:r>
          </w:p>
        </w:tc>
        <w:tc>
          <w:tcPr>
            <w:tcW w:w="1518" w:type="dxa"/>
          </w:tcPr>
          <w:p w14:paraId="25FE3B96"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0950A232" w14:textId="188541C7" w:rsidTr="00EA5CA6">
        <w:tc>
          <w:tcPr>
            <w:tcW w:w="999" w:type="dxa"/>
            <w:shd w:val="clear" w:color="auto" w:fill="D9D9D9" w:themeFill="background1" w:themeFillShade="D9"/>
          </w:tcPr>
          <w:p w14:paraId="5358371D" w14:textId="47497ED0" w:rsidR="00D068E5" w:rsidRPr="001011C6" w:rsidRDefault="00D068E5" w:rsidP="001011C6">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83F8EA9" w14:textId="63C3386A" w:rsidR="00D068E5" w:rsidRPr="001011C6" w:rsidRDefault="00D068E5" w:rsidP="001011C6">
            <w:pPr>
              <w:spacing w:line="360" w:lineRule="auto"/>
              <w:rPr>
                <w:rFonts w:ascii="Times New Roman" w:hAnsi="Times New Roman" w:cs="Times New Roman"/>
                <w:b/>
                <w:bCs/>
                <w:sz w:val="22"/>
                <w:szCs w:val="22"/>
              </w:rPr>
            </w:pPr>
            <w:r w:rsidRPr="001011C6">
              <w:rPr>
                <w:rFonts w:ascii="Times New Roman" w:hAnsi="Times New Roman" w:cs="Times New Roman"/>
                <w:b/>
                <w:bCs/>
                <w:sz w:val="22"/>
                <w:szCs w:val="22"/>
              </w:rPr>
              <w:t>Compelled Disclosure</w:t>
            </w:r>
          </w:p>
        </w:tc>
        <w:tc>
          <w:tcPr>
            <w:tcW w:w="1518" w:type="dxa"/>
            <w:shd w:val="clear" w:color="auto" w:fill="D9D9D9" w:themeFill="background1" w:themeFillShade="D9"/>
          </w:tcPr>
          <w:p w14:paraId="4B393773"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24D8B934" w14:textId="6D110D8B" w:rsidTr="00EA5CA6">
        <w:tc>
          <w:tcPr>
            <w:tcW w:w="999" w:type="dxa"/>
          </w:tcPr>
          <w:p w14:paraId="1B7BA152"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7EAA3766" w14:textId="77777777"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b/>
                <w:bCs/>
                <w:sz w:val="22"/>
                <w:szCs w:val="22"/>
              </w:rPr>
              <w:t xml:space="preserve">Question: </w:t>
            </w:r>
            <w:r w:rsidRPr="001011C6">
              <w:rPr>
                <w:rFonts w:ascii="Times New Roman" w:hAnsi="Times New Roman" w:cs="Times New Roman"/>
                <w:sz w:val="22"/>
                <w:szCs w:val="22"/>
              </w:rPr>
              <w:t>Should there be a provision for immediate notification if the Recipient is legally required to disclose confidential information (e.g., within [number of hours/days])? Should any specific limits be set on the scope of compelled disclosure?</w:t>
            </w:r>
          </w:p>
          <w:p w14:paraId="756AFF80" w14:textId="142CA145" w:rsidR="001011C6" w:rsidRPr="001011C6" w:rsidRDefault="001011C6" w:rsidP="001011C6">
            <w:pPr>
              <w:spacing w:line="360" w:lineRule="auto"/>
              <w:jc w:val="both"/>
              <w:rPr>
                <w:rFonts w:ascii="Times New Roman" w:hAnsi="Times New Roman" w:cs="Times New Roman"/>
                <w:b/>
                <w:bCs/>
                <w:sz w:val="22"/>
                <w:szCs w:val="22"/>
              </w:rPr>
            </w:pPr>
            <w:r w:rsidRPr="001011C6">
              <w:rPr>
                <w:rFonts w:ascii="Times New Roman" w:hAnsi="Times New Roman" w:cs="Times New Roman"/>
                <w:b/>
                <w:bCs/>
                <w:sz w:val="22"/>
                <w:szCs w:val="22"/>
              </w:rPr>
              <w:t xml:space="preserve">Explanation: </w:t>
            </w:r>
            <w:r w:rsidR="002A6B7A" w:rsidRPr="002A6B7A">
              <w:rPr>
                <w:rFonts w:ascii="Times New Roman" w:hAnsi="Times New Roman" w:cs="Times New Roman"/>
                <w:sz w:val="22"/>
                <w:szCs w:val="22"/>
              </w:rPr>
              <w:t>Courts or regulatory bodies may compel the disclosure of confidential information. Ensure prompt notification and limit the scope of what must be disclosed when possible.</w:t>
            </w:r>
          </w:p>
        </w:tc>
        <w:tc>
          <w:tcPr>
            <w:tcW w:w="1518" w:type="dxa"/>
          </w:tcPr>
          <w:p w14:paraId="4241745F"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6AC3D510" w14:textId="1A365D74" w:rsidTr="00EA5CA6">
        <w:tc>
          <w:tcPr>
            <w:tcW w:w="999" w:type="dxa"/>
            <w:shd w:val="clear" w:color="auto" w:fill="D9D9D9" w:themeFill="background1" w:themeFillShade="D9"/>
          </w:tcPr>
          <w:p w14:paraId="467698A0" w14:textId="2C423EB8" w:rsidR="00D068E5" w:rsidRPr="001011C6" w:rsidRDefault="00D068E5" w:rsidP="001011C6">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31F81D1" w14:textId="4E91B26B" w:rsidR="00D068E5" w:rsidRPr="001011C6" w:rsidRDefault="00D068E5" w:rsidP="001011C6">
            <w:pPr>
              <w:spacing w:line="360" w:lineRule="auto"/>
              <w:rPr>
                <w:rFonts w:ascii="Times New Roman" w:hAnsi="Times New Roman" w:cs="Times New Roman"/>
                <w:b/>
                <w:bCs/>
                <w:sz w:val="22"/>
                <w:szCs w:val="22"/>
              </w:rPr>
            </w:pPr>
            <w:r w:rsidRPr="001011C6">
              <w:rPr>
                <w:rFonts w:ascii="Times New Roman" w:hAnsi="Times New Roman" w:cs="Times New Roman"/>
                <w:b/>
                <w:bCs/>
                <w:sz w:val="22"/>
                <w:szCs w:val="22"/>
              </w:rPr>
              <w:t>Remedies</w:t>
            </w:r>
          </w:p>
        </w:tc>
        <w:tc>
          <w:tcPr>
            <w:tcW w:w="1518" w:type="dxa"/>
            <w:shd w:val="clear" w:color="auto" w:fill="D9D9D9" w:themeFill="background1" w:themeFillShade="D9"/>
          </w:tcPr>
          <w:p w14:paraId="32ABF851"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08AAD137" w14:textId="0A6218B7" w:rsidTr="00EA5CA6">
        <w:tc>
          <w:tcPr>
            <w:tcW w:w="999" w:type="dxa"/>
          </w:tcPr>
          <w:p w14:paraId="36512A63"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1173DC61" w14:textId="77777777"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b/>
                <w:bCs/>
                <w:sz w:val="22"/>
                <w:szCs w:val="22"/>
              </w:rPr>
              <w:t xml:space="preserve">Question: </w:t>
            </w:r>
            <w:r w:rsidRPr="001011C6">
              <w:rPr>
                <w:rFonts w:ascii="Times New Roman" w:hAnsi="Times New Roman" w:cs="Times New Roman"/>
                <w:sz w:val="22"/>
                <w:szCs w:val="22"/>
              </w:rPr>
              <w:t>Would you prefer to limit remedies to specific actions (e.g., injunctions, audits) in the case of breach, or allow a broader range of legal remedies?</w:t>
            </w:r>
          </w:p>
          <w:p w14:paraId="75D1B21C" w14:textId="0C8C22D3" w:rsidR="001011C6" w:rsidRPr="001011C6" w:rsidRDefault="001011C6" w:rsidP="001011C6">
            <w:pPr>
              <w:spacing w:line="360" w:lineRule="auto"/>
              <w:jc w:val="both"/>
              <w:rPr>
                <w:rFonts w:ascii="Times New Roman" w:hAnsi="Times New Roman" w:cs="Times New Roman"/>
                <w:b/>
                <w:bCs/>
                <w:sz w:val="22"/>
                <w:szCs w:val="22"/>
              </w:rPr>
            </w:pPr>
            <w:r w:rsidRPr="001011C6">
              <w:rPr>
                <w:rFonts w:ascii="Times New Roman" w:hAnsi="Times New Roman" w:cs="Times New Roman"/>
                <w:b/>
                <w:bCs/>
                <w:sz w:val="22"/>
                <w:szCs w:val="22"/>
              </w:rPr>
              <w:lastRenderedPageBreak/>
              <w:t xml:space="preserve">Explanation: </w:t>
            </w:r>
            <w:r w:rsidR="002A6B7A" w:rsidRPr="002A6B7A">
              <w:rPr>
                <w:rFonts w:ascii="Times New Roman" w:hAnsi="Times New Roman" w:cs="Times New Roman"/>
                <w:sz w:val="22"/>
                <w:szCs w:val="22"/>
              </w:rPr>
              <w:t>Consider if remedies for breach should include specific actions or a wider range of legal recourse to protect your interests if confidentiality is breached.</w:t>
            </w:r>
          </w:p>
        </w:tc>
        <w:tc>
          <w:tcPr>
            <w:tcW w:w="1518" w:type="dxa"/>
          </w:tcPr>
          <w:p w14:paraId="705ADD6C"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59781F7F" w14:textId="6C5F9A0E" w:rsidTr="00EA5CA6">
        <w:tc>
          <w:tcPr>
            <w:tcW w:w="999" w:type="dxa"/>
            <w:shd w:val="clear" w:color="auto" w:fill="D9D9D9" w:themeFill="background1" w:themeFillShade="D9"/>
          </w:tcPr>
          <w:p w14:paraId="742BFEA6" w14:textId="5CDBFCFC" w:rsidR="00D068E5" w:rsidRPr="001011C6" w:rsidRDefault="00D068E5" w:rsidP="001011C6">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11F0AF0C" w14:textId="79A96F9E" w:rsidR="00D068E5" w:rsidRPr="001011C6" w:rsidRDefault="00D068E5" w:rsidP="001011C6">
            <w:pPr>
              <w:spacing w:line="360" w:lineRule="auto"/>
              <w:rPr>
                <w:rFonts w:ascii="Times New Roman" w:hAnsi="Times New Roman" w:cs="Times New Roman"/>
                <w:b/>
                <w:bCs/>
                <w:sz w:val="22"/>
                <w:szCs w:val="22"/>
              </w:rPr>
            </w:pPr>
            <w:r w:rsidRPr="001011C6">
              <w:rPr>
                <w:rFonts w:ascii="Times New Roman" w:hAnsi="Times New Roman" w:cs="Times New Roman"/>
                <w:b/>
                <w:bCs/>
                <w:sz w:val="22"/>
                <w:szCs w:val="22"/>
              </w:rPr>
              <w:t>Indemnity</w:t>
            </w:r>
          </w:p>
        </w:tc>
        <w:tc>
          <w:tcPr>
            <w:tcW w:w="1518" w:type="dxa"/>
            <w:shd w:val="clear" w:color="auto" w:fill="D9D9D9" w:themeFill="background1" w:themeFillShade="D9"/>
          </w:tcPr>
          <w:p w14:paraId="2AA604B2"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43293C6B" w14:textId="3E0EF303" w:rsidTr="00EA5CA6">
        <w:tc>
          <w:tcPr>
            <w:tcW w:w="999" w:type="dxa"/>
          </w:tcPr>
          <w:p w14:paraId="4A94D693"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705D378E" w14:textId="6B7BBD62" w:rsidR="00D068E5" w:rsidRPr="001011C6" w:rsidRDefault="00D068E5" w:rsidP="001011C6">
            <w:pPr>
              <w:spacing w:line="360" w:lineRule="auto"/>
              <w:jc w:val="both"/>
              <w:rPr>
                <w:rFonts w:ascii="Times New Roman" w:hAnsi="Times New Roman" w:cs="Times New Roman"/>
                <w:b/>
                <w:bCs/>
                <w:sz w:val="22"/>
                <w:szCs w:val="22"/>
              </w:rPr>
            </w:pPr>
            <w:r w:rsidRPr="001011C6">
              <w:rPr>
                <w:rFonts w:ascii="Times New Roman" w:hAnsi="Times New Roman" w:cs="Times New Roman"/>
                <w:b/>
                <w:bCs/>
                <w:sz w:val="22"/>
                <w:szCs w:val="22"/>
              </w:rPr>
              <w:t xml:space="preserve">Question: </w:t>
            </w:r>
            <w:r w:rsidR="002A6B7A" w:rsidRPr="002A6B7A">
              <w:rPr>
                <w:rFonts w:ascii="Times New Roman" w:hAnsi="Times New Roman" w:cs="Times New Roman"/>
                <w:sz w:val="22"/>
                <w:szCs w:val="22"/>
              </w:rPr>
              <w:t>Should each Party be fully responsible for all legal costs, damages, and other expenses arising from breaches of confidentiality, or would you prefer to limit liability to direct damages?</w:t>
            </w:r>
          </w:p>
        </w:tc>
        <w:tc>
          <w:tcPr>
            <w:tcW w:w="1518" w:type="dxa"/>
          </w:tcPr>
          <w:p w14:paraId="5E8D8577"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30E3B683" w14:textId="76461C17" w:rsidTr="00EA5CA6">
        <w:tc>
          <w:tcPr>
            <w:tcW w:w="999" w:type="dxa"/>
          </w:tcPr>
          <w:p w14:paraId="41FB9CED"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1FFFBC33" w14:textId="259324E7" w:rsidR="00D068E5" w:rsidRPr="001011C6" w:rsidRDefault="00D068E5" w:rsidP="001011C6">
            <w:pPr>
              <w:spacing w:line="360" w:lineRule="auto"/>
              <w:jc w:val="both"/>
              <w:rPr>
                <w:rFonts w:ascii="Times New Roman" w:hAnsi="Times New Roman" w:cs="Times New Roman"/>
                <w:b/>
                <w:bCs/>
                <w:sz w:val="22"/>
                <w:szCs w:val="22"/>
              </w:rPr>
            </w:pPr>
            <w:r w:rsidRPr="001011C6">
              <w:rPr>
                <w:rFonts w:ascii="Times New Roman" w:hAnsi="Times New Roman" w:cs="Times New Roman"/>
                <w:b/>
                <w:bCs/>
                <w:sz w:val="22"/>
                <w:szCs w:val="22"/>
              </w:rPr>
              <w:t xml:space="preserve">Explanation: </w:t>
            </w:r>
            <w:r w:rsidR="002A6B7A" w:rsidRPr="002A6B7A">
              <w:rPr>
                <w:rFonts w:ascii="Times New Roman" w:hAnsi="Times New Roman" w:cs="Times New Roman"/>
                <w:sz w:val="22"/>
                <w:szCs w:val="22"/>
              </w:rPr>
              <w:t>Indemnity clauses can impose full responsibility on the breaching Party for legal expenses and damages. You may want to limit the scope of indemnification to avoid excessive liability.</w:t>
            </w:r>
          </w:p>
        </w:tc>
        <w:tc>
          <w:tcPr>
            <w:tcW w:w="1518" w:type="dxa"/>
          </w:tcPr>
          <w:p w14:paraId="7AB093D7"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105439A8" w14:textId="6324981D" w:rsidTr="00EA5CA6">
        <w:tc>
          <w:tcPr>
            <w:tcW w:w="999" w:type="dxa"/>
            <w:shd w:val="clear" w:color="auto" w:fill="D9D9D9" w:themeFill="background1" w:themeFillShade="D9"/>
          </w:tcPr>
          <w:p w14:paraId="1B89CD8C" w14:textId="2992FE50" w:rsidR="00D068E5" w:rsidRPr="001011C6" w:rsidRDefault="00D068E5" w:rsidP="001011C6">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2ADD8C18" w14:textId="6CBFF794" w:rsidR="00D068E5" w:rsidRPr="001011C6" w:rsidRDefault="00D068E5" w:rsidP="001011C6">
            <w:pPr>
              <w:spacing w:line="360" w:lineRule="auto"/>
              <w:rPr>
                <w:rFonts w:ascii="Times New Roman" w:hAnsi="Times New Roman" w:cs="Times New Roman"/>
                <w:b/>
                <w:bCs/>
                <w:sz w:val="22"/>
                <w:szCs w:val="22"/>
              </w:rPr>
            </w:pPr>
            <w:r w:rsidRPr="001011C6">
              <w:rPr>
                <w:rFonts w:ascii="Times New Roman" w:hAnsi="Times New Roman" w:cs="Times New Roman"/>
                <w:b/>
                <w:bCs/>
                <w:sz w:val="22"/>
                <w:szCs w:val="22"/>
              </w:rPr>
              <w:t>Audit Rights</w:t>
            </w:r>
          </w:p>
        </w:tc>
        <w:tc>
          <w:tcPr>
            <w:tcW w:w="1518" w:type="dxa"/>
            <w:shd w:val="clear" w:color="auto" w:fill="D9D9D9" w:themeFill="background1" w:themeFillShade="D9"/>
          </w:tcPr>
          <w:p w14:paraId="0DEC77DD" w14:textId="77777777" w:rsidR="00D068E5" w:rsidRPr="001011C6" w:rsidRDefault="00D068E5" w:rsidP="001011C6">
            <w:pPr>
              <w:spacing w:line="360" w:lineRule="auto"/>
              <w:rPr>
                <w:rFonts w:ascii="Times New Roman" w:hAnsi="Times New Roman" w:cs="Times New Roman"/>
                <w:sz w:val="22"/>
                <w:szCs w:val="22"/>
              </w:rPr>
            </w:pPr>
          </w:p>
        </w:tc>
      </w:tr>
      <w:tr w:rsidR="00D068E5" w:rsidRPr="001011C6" w14:paraId="1EF966A9" w14:textId="43BF1F45" w:rsidTr="00EA5CA6">
        <w:tc>
          <w:tcPr>
            <w:tcW w:w="999" w:type="dxa"/>
          </w:tcPr>
          <w:p w14:paraId="467B0B7B" w14:textId="77777777" w:rsidR="00D068E5" w:rsidRPr="001011C6" w:rsidRDefault="00D068E5" w:rsidP="001011C6">
            <w:pPr>
              <w:spacing w:line="360" w:lineRule="auto"/>
              <w:rPr>
                <w:rFonts w:ascii="Times New Roman" w:hAnsi="Times New Roman" w:cs="Times New Roman"/>
                <w:sz w:val="22"/>
                <w:szCs w:val="22"/>
              </w:rPr>
            </w:pPr>
          </w:p>
        </w:tc>
        <w:tc>
          <w:tcPr>
            <w:tcW w:w="6493" w:type="dxa"/>
          </w:tcPr>
          <w:p w14:paraId="276308AA" w14:textId="6D47CBCB" w:rsidR="00D068E5" w:rsidRPr="001011C6" w:rsidRDefault="00D068E5" w:rsidP="001011C6">
            <w:pPr>
              <w:spacing w:line="360" w:lineRule="auto"/>
              <w:jc w:val="both"/>
              <w:rPr>
                <w:rFonts w:ascii="Times New Roman" w:hAnsi="Times New Roman" w:cs="Times New Roman"/>
                <w:sz w:val="22"/>
                <w:szCs w:val="22"/>
              </w:rPr>
            </w:pPr>
            <w:r w:rsidRPr="001011C6">
              <w:rPr>
                <w:rFonts w:ascii="Times New Roman" w:hAnsi="Times New Roman" w:cs="Times New Roman"/>
                <w:b/>
                <w:bCs/>
                <w:sz w:val="22"/>
                <w:szCs w:val="22"/>
              </w:rPr>
              <w:t xml:space="preserve">Question: </w:t>
            </w:r>
            <w:r w:rsidR="002A6B7A" w:rsidRPr="002A6B7A">
              <w:rPr>
                <w:rFonts w:ascii="Times New Roman" w:hAnsi="Times New Roman" w:cs="Times New Roman"/>
                <w:sz w:val="22"/>
                <w:szCs w:val="22"/>
              </w:rPr>
              <w:t>Should either Party be allowed to audit the other Party’s systems without prior notice in certain cases (e.g., suspected breach of confidentiality), or would you prefer a fixed notice period for all audits?</w:t>
            </w:r>
          </w:p>
          <w:p w14:paraId="0A3499B5" w14:textId="79EC54F2" w:rsidR="001011C6" w:rsidRPr="001011C6" w:rsidRDefault="001011C6" w:rsidP="001011C6">
            <w:pPr>
              <w:spacing w:line="360" w:lineRule="auto"/>
              <w:jc w:val="both"/>
              <w:rPr>
                <w:rFonts w:ascii="Times New Roman" w:hAnsi="Times New Roman" w:cs="Times New Roman"/>
                <w:b/>
                <w:bCs/>
                <w:sz w:val="22"/>
                <w:szCs w:val="22"/>
              </w:rPr>
            </w:pPr>
            <w:r w:rsidRPr="001011C6">
              <w:rPr>
                <w:rFonts w:ascii="Times New Roman" w:hAnsi="Times New Roman" w:cs="Times New Roman"/>
                <w:b/>
                <w:bCs/>
                <w:sz w:val="22"/>
                <w:szCs w:val="22"/>
              </w:rPr>
              <w:t xml:space="preserve">Explanation: </w:t>
            </w:r>
            <w:r w:rsidR="002A6B7A" w:rsidRPr="002A6B7A">
              <w:rPr>
                <w:rFonts w:ascii="Times New Roman" w:hAnsi="Times New Roman" w:cs="Times New Roman"/>
                <w:sz w:val="22"/>
                <w:szCs w:val="22"/>
              </w:rPr>
              <w:t>Audits allow one Party to verify the other’s compliance with the agreement. You may want the ability to conduct surprise audits if confidentiality is suspected to be compromised, or set standard notice periods for transparency</w:t>
            </w:r>
            <w:r w:rsidR="002A6B7A">
              <w:rPr>
                <w:rFonts w:ascii="Times New Roman" w:hAnsi="Times New Roman" w:cs="Times New Roman"/>
                <w:sz w:val="22"/>
                <w:szCs w:val="22"/>
              </w:rPr>
              <w:t xml:space="preserve"> if your client is likely to be the discloser of confidential information</w:t>
            </w:r>
            <w:r w:rsidR="002A6B7A" w:rsidRPr="002A6B7A">
              <w:rPr>
                <w:rFonts w:ascii="Times New Roman" w:hAnsi="Times New Roman" w:cs="Times New Roman"/>
                <w:sz w:val="22"/>
                <w:szCs w:val="22"/>
              </w:rPr>
              <w:t>.</w:t>
            </w:r>
            <w:r w:rsidR="002A6B7A">
              <w:rPr>
                <w:rFonts w:ascii="Times New Roman" w:hAnsi="Times New Roman" w:cs="Times New Roman"/>
                <w:sz w:val="22"/>
                <w:szCs w:val="22"/>
              </w:rPr>
              <w:t xml:space="preserve"> However, if your client is likely to be the recipient of the information, you may want to restrict the ability to audit your client’s systems or place reasonable processes around it.</w:t>
            </w:r>
          </w:p>
        </w:tc>
        <w:tc>
          <w:tcPr>
            <w:tcW w:w="1518" w:type="dxa"/>
          </w:tcPr>
          <w:p w14:paraId="161F6692" w14:textId="77777777" w:rsidR="00D068E5" w:rsidRPr="001011C6" w:rsidRDefault="00D068E5" w:rsidP="001011C6">
            <w:pPr>
              <w:spacing w:line="360" w:lineRule="auto"/>
              <w:rPr>
                <w:rFonts w:ascii="Times New Roman" w:hAnsi="Times New Roman" w:cs="Times New Roman"/>
                <w:sz w:val="22"/>
                <w:szCs w:val="22"/>
              </w:rPr>
            </w:pPr>
          </w:p>
        </w:tc>
      </w:tr>
      <w:tr w:rsidR="001011C6" w:rsidRPr="001011C6" w14:paraId="6490791D" w14:textId="747FFB09" w:rsidTr="00EA5CA6">
        <w:tc>
          <w:tcPr>
            <w:tcW w:w="999" w:type="dxa"/>
            <w:shd w:val="clear" w:color="auto" w:fill="D9D9D9" w:themeFill="background1" w:themeFillShade="D9"/>
          </w:tcPr>
          <w:p w14:paraId="632D92A7" w14:textId="3D3F9FE4" w:rsidR="001011C6" w:rsidRPr="001011C6" w:rsidRDefault="001011C6" w:rsidP="001011C6">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31D8C87F" w14:textId="781BF25B" w:rsidR="001011C6" w:rsidRPr="001011C6" w:rsidRDefault="001011C6" w:rsidP="001011C6">
            <w:pPr>
              <w:spacing w:line="360" w:lineRule="auto"/>
              <w:jc w:val="both"/>
              <w:rPr>
                <w:rFonts w:ascii="Times New Roman" w:hAnsi="Times New Roman" w:cs="Times New Roman"/>
                <w:b/>
                <w:bCs/>
                <w:sz w:val="22"/>
                <w:szCs w:val="22"/>
              </w:rPr>
            </w:pPr>
            <w:r w:rsidRPr="001011C6">
              <w:rPr>
                <w:rFonts w:ascii="Times New Roman" w:hAnsi="Times New Roman" w:cs="Times New Roman"/>
                <w:b/>
                <w:bCs/>
                <w:sz w:val="22"/>
                <w:szCs w:val="22"/>
              </w:rPr>
              <w:t>Governing Law and Arbitration</w:t>
            </w:r>
          </w:p>
        </w:tc>
        <w:tc>
          <w:tcPr>
            <w:tcW w:w="1518" w:type="dxa"/>
            <w:shd w:val="clear" w:color="auto" w:fill="D9D9D9" w:themeFill="background1" w:themeFillShade="D9"/>
          </w:tcPr>
          <w:p w14:paraId="6CCE876C" w14:textId="77777777" w:rsidR="001011C6" w:rsidRPr="001011C6" w:rsidRDefault="001011C6" w:rsidP="001011C6">
            <w:pPr>
              <w:spacing w:line="360" w:lineRule="auto"/>
              <w:rPr>
                <w:rFonts w:ascii="Times New Roman" w:hAnsi="Times New Roman" w:cs="Times New Roman"/>
                <w:sz w:val="22"/>
                <w:szCs w:val="22"/>
              </w:rPr>
            </w:pPr>
          </w:p>
        </w:tc>
      </w:tr>
      <w:tr w:rsidR="001011C6" w:rsidRPr="001011C6" w14:paraId="68D162C3" w14:textId="4A2E1D84" w:rsidTr="00EA5CA6">
        <w:tc>
          <w:tcPr>
            <w:tcW w:w="999" w:type="dxa"/>
          </w:tcPr>
          <w:p w14:paraId="0DB0957B" w14:textId="77777777" w:rsidR="001011C6" w:rsidRPr="001011C6" w:rsidRDefault="001011C6" w:rsidP="001011C6">
            <w:pPr>
              <w:spacing w:line="360" w:lineRule="auto"/>
              <w:rPr>
                <w:rFonts w:ascii="Times New Roman" w:hAnsi="Times New Roman" w:cs="Times New Roman"/>
                <w:sz w:val="22"/>
                <w:szCs w:val="22"/>
              </w:rPr>
            </w:pPr>
          </w:p>
        </w:tc>
        <w:tc>
          <w:tcPr>
            <w:tcW w:w="6493" w:type="dxa"/>
          </w:tcPr>
          <w:p w14:paraId="0F224F22" w14:textId="77777777" w:rsidR="001011C6" w:rsidRPr="001011C6" w:rsidRDefault="001011C6" w:rsidP="001011C6">
            <w:pPr>
              <w:spacing w:line="360" w:lineRule="auto"/>
              <w:jc w:val="both"/>
              <w:rPr>
                <w:rFonts w:ascii="Times New Roman" w:hAnsi="Times New Roman" w:cs="Times New Roman"/>
                <w:sz w:val="22"/>
                <w:szCs w:val="22"/>
              </w:rPr>
            </w:pPr>
            <w:r w:rsidRPr="001011C6">
              <w:rPr>
                <w:rFonts w:ascii="Times New Roman" w:hAnsi="Times New Roman" w:cs="Times New Roman"/>
                <w:b/>
                <w:bCs/>
                <w:sz w:val="22"/>
                <w:szCs w:val="22"/>
              </w:rPr>
              <w:t xml:space="preserve">Question: </w:t>
            </w:r>
            <w:r w:rsidRPr="001011C6">
              <w:rPr>
                <w:rFonts w:ascii="Times New Roman" w:hAnsi="Times New Roman" w:cs="Times New Roman"/>
                <w:sz w:val="22"/>
                <w:szCs w:val="22"/>
              </w:rPr>
              <w:t>Is the client comfortable with arbitration in [city], or would they prefer a different jurisdiction or alternative dispute resolution methods?</w:t>
            </w:r>
          </w:p>
          <w:p w14:paraId="15834A98" w14:textId="32427636" w:rsidR="001011C6" w:rsidRPr="001011C6" w:rsidRDefault="001011C6" w:rsidP="001011C6">
            <w:pPr>
              <w:spacing w:line="360" w:lineRule="auto"/>
              <w:jc w:val="both"/>
              <w:rPr>
                <w:rFonts w:ascii="Times New Roman" w:hAnsi="Times New Roman" w:cs="Times New Roman"/>
                <w:b/>
                <w:bCs/>
                <w:sz w:val="22"/>
                <w:szCs w:val="22"/>
              </w:rPr>
            </w:pPr>
            <w:r w:rsidRPr="001011C6">
              <w:rPr>
                <w:rFonts w:ascii="Times New Roman" w:hAnsi="Times New Roman" w:cs="Times New Roman"/>
                <w:b/>
                <w:bCs/>
                <w:sz w:val="22"/>
                <w:szCs w:val="22"/>
              </w:rPr>
              <w:t xml:space="preserve">Explanation: </w:t>
            </w:r>
            <w:r w:rsidRPr="001011C6">
              <w:rPr>
                <w:rFonts w:ascii="Times New Roman" w:hAnsi="Times New Roman" w:cs="Times New Roman"/>
                <w:sz w:val="22"/>
                <w:szCs w:val="22"/>
              </w:rPr>
              <w:t>Arbitration venue and number of arbitrators can affect the convenience and cost of resolving disputes. Discuss whether the chosen location and arbitration setup are acceptable or if another jurisdiction would be preferred.</w:t>
            </w:r>
          </w:p>
        </w:tc>
        <w:tc>
          <w:tcPr>
            <w:tcW w:w="1518" w:type="dxa"/>
          </w:tcPr>
          <w:p w14:paraId="662F1E5A" w14:textId="77777777" w:rsidR="001011C6" w:rsidRPr="001011C6" w:rsidRDefault="001011C6" w:rsidP="001011C6">
            <w:pPr>
              <w:spacing w:line="360" w:lineRule="auto"/>
              <w:rPr>
                <w:rFonts w:ascii="Times New Roman" w:hAnsi="Times New Roman" w:cs="Times New Roman"/>
                <w:sz w:val="22"/>
                <w:szCs w:val="22"/>
              </w:rPr>
            </w:pPr>
          </w:p>
        </w:tc>
      </w:tr>
    </w:tbl>
    <w:p w14:paraId="325963E6" w14:textId="77777777" w:rsidR="003759E2" w:rsidRPr="003759E2" w:rsidRDefault="003759E2" w:rsidP="003759E2">
      <w:pPr>
        <w:spacing w:before="240" w:line="276" w:lineRule="auto"/>
        <w:jc w:val="both"/>
        <w:rPr>
          <w:rFonts w:ascii="Montserrat" w:hAnsi="Montserrat" w:cs="Times New Roman"/>
          <w:b/>
          <w:bCs/>
          <w:sz w:val="16"/>
          <w:szCs w:val="16"/>
        </w:rPr>
      </w:pPr>
      <w:r w:rsidRPr="003759E2">
        <w:rPr>
          <w:rFonts w:ascii="Montserrat" w:hAnsi="Montserrat" w:cs="Times New Roman"/>
          <w:b/>
          <w:bCs/>
          <w:sz w:val="16"/>
          <w:szCs w:val="16"/>
        </w:rPr>
        <w:t>Disclaimer</w:t>
      </w:r>
    </w:p>
    <w:p w14:paraId="2A5A428D" w14:textId="35FC03BA" w:rsidR="003759E2"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This checklist is intended as an indicative guide for the information necessary to complete the associated template document and facilitate discussions between a legal professional and their client. TLL does not guarantee the accuracy, completeness, or interpretation of this checklist. Users are strongly encouraged to review the template document for which the information is being collected before relying on this checklist in legal practice.</w:t>
      </w:r>
    </w:p>
    <w:p w14:paraId="63B7E673" w14:textId="77777777" w:rsidR="003759E2"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 xml:space="preserve">The Law Library serves as a support resource for legal professionals. The materials provided, including but not limited to articles, templates, checklists, analyses, and guides (collectively referred to as "Licensed Content"), are meant to assist legal professionals in their work. Legal practitioners are advised to adapt the Licensed Content to </w:t>
      </w:r>
      <w:r w:rsidRPr="003759E2">
        <w:rPr>
          <w:rFonts w:ascii="Montserrat" w:hAnsi="Montserrat" w:cs="Times New Roman"/>
          <w:sz w:val="16"/>
          <w:szCs w:val="16"/>
        </w:rPr>
        <w:lastRenderedPageBreak/>
        <w:t>suit specific circumstances and use them strictly as reference tools or aids in delivering professional legal services, in compliance with applicable laws governing legal practice.</w:t>
      </w:r>
    </w:p>
    <w:p w14:paraId="419D89BC" w14:textId="2835978C" w:rsidR="007A5134"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Please note that the materials available through the website, www.tllindia.com including downloadable content, do not constitute legal advice and should not be construed as such. If you are not a legal professional, we caution against using the Licensed Content "as is," as it is not intended to substitute for the expertise or counsel of a licensed legal practitioner.</w:t>
      </w:r>
    </w:p>
    <w:sectPr w:rsidR="007A5134" w:rsidRPr="003759E2" w:rsidSect="0008271D">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pgBorders w:offsetFrom="page">
        <w:top w:val="single" w:sz="24" w:space="24" w:color="87CEEB"/>
        <w:left w:val="single" w:sz="24" w:space="24" w:color="87CEEB"/>
        <w:bottom w:val="single" w:sz="24" w:space="24" w:color="87CEEB"/>
        <w:right w:val="single" w:sz="24" w:space="24" w:color="87CEE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8FAC2" w14:textId="77777777" w:rsidR="00AA4D6B" w:rsidRDefault="00AA4D6B" w:rsidP="0008271D">
      <w:r>
        <w:separator/>
      </w:r>
    </w:p>
  </w:endnote>
  <w:endnote w:type="continuationSeparator" w:id="0">
    <w:p w14:paraId="395F2DE8" w14:textId="77777777" w:rsidR="00AA4D6B" w:rsidRDefault="00AA4D6B" w:rsidP="0008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C977" w14:textId="77777777" w:rsidR="00CE6D1F" w:rsidRDefault="00CE6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A19EE" w14:textId="599491C6" w:rsidR="0008271D" w:rsidRDefault="0008271D">
    <w:pPr>
      <w:pStyle w:val="Footer"/>
    </w:pPr>
    <w:r>
      <w:rPr>
        <w:noProof/>
        <w:color w:val="808080" w:themeColor="background1" w:themeShade="80"/>
        <w:lang w:eastAsia="zh-CN"/>
      </w:rPr>
      <mc:AlternateContent>
        <mc:Choice Requires="wpg">
          <w:drawing>
            <wp:anchor distT="0" distB="0" distL="0" distR="0" simplePos="0" relativeHeight="251662336" behindDoc="0" locked="0" layoutInCell="1" allowOverlap="1" wp14:anchorId="33A93099" wp14:editId="5F0C88FD">
              <wp:simplePos x="0" y="0"/>
              <wp:positionH relativeFrom="margin">
                <wp:posOffset>18299</wp:posOffset>
              </wp:positionH>
              <wp:positionV relativeFrom="bottomMargin">
                <wp:posOffset>180926</wp:posOffset>
              </wp:positionV>
              <wp:extent cx="5925301" cy="332545"/>
              <wp:effectExtent l="0" t="0" r="5715" b="0"/>
              <wp:wrapSquare wrapText="bothSides"/>
              <wp:docPr id="37" name="Group 12"/>
              <wp:cNvGraphicFramePr/>
              <a:graphic xmlns:a="http://schemas.openxmlformats.org/drawingml/2006/main">
                <a:graphicData uri="http://schemas.microsoft.com/office/word/2010/wordprocessingGroup">
                  <wpg:wgp>
                    <wpg:cNvGrpSpPr/>
                    <wpg:grpSpPr>
                      <a:xfrm>
                        <a:off x="0" y="0"/>
                        <a:ext cx="5925301" cy="332545"/>
                        <a:chOff x="18358" y="0"/>
                        <a:chExt cx="5944292" cy="336503"/>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8358" y="18826"/>
                          <a:ext cx="5943600" cy="3176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DDC60" w14:textId="040EA8A8" w:rsidR="0008271D" w:rsidRPr="007A5134" w:rsidRDefault="007A5134" w:rsidP="007A5134">
                            <w:pPr>
                              <w:rPr>
                                <w:rFonts w:ascii="Montserrat" w:hAnsi="Montserrat"/>
                                <w:sz w:val="16"/>
                                <w:szCs w:val="16"/>
                              </w:rPr>
                            </w:pPr>
                            <w:r w:rsidRPr="007A5134">
                              <w:rPr>
                                <w:rFonts w:ascii="Montserrat" w:hAnsi="Montserrat"/>
                                <w:sz w:val="16"/>
                                <w:szCs w:val="16"/>
                              </w:rPr>
                              <w:t>© TLL The Law Library Private Limited.</w:t>
                            </w:r>
                          </w:p>
                          <w:p w14:paraId="30E8F58B" w14:textId="1F8BA7CC" w:rsidR="007A5134" w:rsidRPr="007A5134" w:rsidRDefault="007A5134" w:rsidP="007A5134">
                            <w:pPr>
                              <w:rPr>
                                <w:rFonts w:ascii="Montserrat" w:hAnsi="Montserrat"/>
                                <w:sz w:val="16"/>
                                <w:szCs w:val="16"/>
                              </w:rPr>
                            </w:pPr>
                            <w:r w:rsidRPr="007A5134">
                              <w:rPr>
                                <w:rFonts w:ascii="Montserrat" w:hAnsi="Montserrat"/>
                                <w:sz w:val="16"/>
                                <w:szCs w:val="16"/>
                              </w:rPr>
                              <w:t>CH.GC.1.</w:t>
                            </w:r>
                            <w:r w:rsidR="00E649C2">
                              <w:rPr>
                                <w:rFonts w:ascii="Montserrat" w:hAnsi="Montserrat"/>
                                <w:sz w:val="16"/>
                                <w:szCs w:val="16"/>
                              </w:rPr>
                              <w:t>3</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A93099" id="Group 12" o:spid="_x0000_s1026" style="position:absolute;margin-left:1.45pt;margin-top:14.25pt;width:466.55pt;height:26.2pt;z-index:251662336;mso-wrap-distance-left:0;mso-wrap-distance-right:0;mso-position-horizontal-relative:margin;mso-position-vertical-relative:bottom-margin-area;mso-width-relative:margin;mso-height-relative:margin" coordorigin="183" coordsize="59442,33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">
              <v:rect id="Rectangle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39" o:spid="_x0000_s1028" type="#_x0000_t202" style="position:absolute;left:183;top:188;width:59436;height:317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p w14:paraId="450DDC60" w14:textId="040EA8A8" w:rsidR="0008271D" w:rsidRPr="007A5134" w:rsidRDefault="007A5134" w:rsidP="007A5134">
                      <w:pPr>
                        <w:rPr>
                          <w:rFonts w:ascii="Montserrat" w:hAnsi="Montserrat"/>
                          <w:sz w:val="16"/>
                          <w:szCs w:val="16"/>
                        </w:rPr>
                      </w:pPr>
                      <w:r w:rsidRPr="007A5134">
                        <w:rPr>
                          <w:rFonts w:ascii="Montserrat" w:hAnsi="Montserrat"/>
                          <w:sz w:val="16"/>
                          <w:szCs w:val="16"/>
                        </w:rPr>
                        <w:t>© TLL The Law Library Private Limited.</w:t>
                      </w:r>
                    </w:p>
                    <w:p w14:paraId="30E8F58B" w14:textId="1F8BA7CC" w:rsidR="007A5134" w:rsidRPr="007A5134" w:rsidRDefault="007A5134" w:rsidP="007A5134">
                      <w:pPr>
                        <w:rPr>
                          <w:rFonts w:ascii="Montserrat" w:hAnsi="Montserrat"/>
                          <w:sz w:val="16"/>
                          <w:szCs w:val="16"/>
                        </w:rPr>
                      </w:pPr>
                      <w:r w:rsidRPr="007A5134">
                        <w:rPr>
                          <w:rFonts w:ascii="Montserrat" w:hAnsi="Montserrat"/>
                          <w:sz w:val="16"/>
                          <w:szCs w:val="16"/>
                        </w:rPr>
                        <w:t>CH.GC.1.</w:t>
                      </w:r>
                      <w:r w:rsidR="00E649C2">
                        <w:rPr>
                          <w:rFonts w:ascii="Montserrat" w:hAnsi="Montserrat"/>
                          <w:sz w:val="16"/>
                          <w:szCs w:val="16"/>
                        </w:rPr>
                        <w:t>3</w:t>
                      </w: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61312" behindDoc="0" locked="0" layoutInCell="1" allowOverlap="1" wp14:anchorId="0C29DBB9" wp14:editId="1B984902">
              <wp:simplePos x="0" y="0"/>
              <wp:positionH relativeFrom="rightMargin">
                <wp:align>left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457200" cy="320040"/>
              <wp:effectExtent l="0" t="0" r="0" b="3810"/>
              <wp:wrapSquare wrapText="bothSides"/>
              <wp:docPr id="40" name="Rectangle 14"/>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1F8E8" w14:textId="77777777" w:rsidR="0008271D" w:rsidRPr="007A5134" w:rsidRDefault="0008271D">
                          <w:pPr>
                            <w:jc w:val="right"/>
                            <w:rPr>
                              <w:rFonts w:ascii="Montserrat" w:hAnsi="Montserrat" w:cs="Times New Roman"/>
                              <w:color w:val="FFFFFF" w:themeColor="background1"/>
                              <w:sz w:val="22"/>
                              <w:szCs w:val="22"/>
                            </w:rPr>
                          </w:pPr>
                          <w:r w:rsidRPr="007A5134">
                            <w:rPr>
                              <w:rFonts w:ascii="Montserrat" w:hAnsi="Montserrat" w:cs="Times New Roman"/>
                              <w:color w:val="FFFFFF" w:themeColor="background1"/>
                              <w:sz w:val="22"/>
                              <w:szCs w:val="22"/>
                            </w:rPr>
                            <w:fldChar w:fldCharType="begin"/>
                          </w:r>
                          <w:r w:rsidRPr="007A5134">
                            <w:rPr>
                              <w:rFonts w:ascii="Montserrat" w:hAnsi="Montserrat" w:cs="Times New Roman"/>
                              <w:color w:val="FFFFFF" w:themeColor="background1"/>
                              <w:sz w:val="22"/>
                              <w:szCs w:val="22"/>
                            </w:rPr>
                            <w:instrText xml:space="preserve"> PAGE   \* MERGEFORMAT </w:instrText>
                          </w:r>
                          <w:r w:rsidRPr="007A5134">
                            <w:rPr>
                              <w:rFonts w:ascii="Montserrat" w:hAnsi="Montserrat" w:cs="Times New Roman"/>
                              <w:color w:val="FFFFFF" w:themeColor="background1"/>
                              <w:sz w:val="22"/>
                              <w:szCs w:val="22"/>
                            </w:rPr>
                            <w:fldChar w:fldCharType="separate"/>
                          </w:r>
                          <w:r w:rsidRPr="007A5134">
                            <w:rPr>
                              <w:rFonts w:ascii="Montserrat" w:hAnsi="Montserrat" w:cs="Times New Roman"/>
                              <w:noProof/>
                              <w:color w:val="FFFFFF" w:themeColor="background1"/>
                              <w:sz w:val="22"/>
                              <w:szCs w:val="22"/>
                            </w:rPr>
                            <w:t>2</w:t>
                          </w:r>
                          <w:r w:rsidRPr="007A5134">
                            <w:rPr>
                              <w:rFonts w:ascii="Montserrat" w:hAnsi="Montserrat" w:cs="Times New Roman"/>
                              <w:noProof/>
                              <w:color w:val="FFFFFF" w:themeColor="background1"/>
                              <w:sz w:val="22"/>
                              <w:szCs w:val="2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DBB9" id="Rectangle 14" o:spid="_x0000_s1029"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" fillcolor="black [3213]" stroked="f" strokeweight="3pt">
              <v:textbox>
                <w:txbxContent>
                  <w:p w14:paraId="14A1F8E8" w14:textId="77777777" w:rsidR="0008271D" w:rsidRPr="007A5134" w:rsidRDefault="0008271D">
                    <w:pPr>
                      <w:jc w:val="right"/>
                      <w:rPr>
                        <w:rFonts w:ascii="Montserrat" w:hAnsi="Montserrat" w:cs="Times New Roman"/>
                        <w:color w:val="FFFFFF" w:themeColor="background1"/>
                        <w:sz w:val="22"/>
                        <w:szCs w:val="22"/>
                      </w:rPr>
                    </w:pPr>
                    <w:r w:rsidRPr="007A5134">
                      <w:rPr>
                        <w:rFonts w:ascii="Montserrat" w:hAnsi="Montserrat" w:cs="Times New Roman"/>
                        <w:color w:val="FFFFFF" w:themeColor="background1"/>
                        <w:sz w:val="22"/>
                        <w:szCs w:val="22"/>
                      </w:rPr>
                      <w:fldChar w:fldCharType="begin"/>
                    </w:r>
                    <w:r w:rsidRPr="007A5134">
                      <w:rPr>
                        <w:rFonts w:ascii="Montserrat" w:hAnsi="Montserrat" w:cs="Times New Roman"/>
                        <w:color w:val="FFFFFF" w:themeColor="background1"/>
                        <w:sz w:val="22"/>
                        <w:szCs w:val="22"/>
                      </w:rPr>
                      <w:instrText xml:space="preserve"> PAGE   \* MERGEFORMAT </w:instrText>
                    </w:r>
                    <w:r w:rsidRPr="007A5134">
                      <w:rPr>
                        <w:rFonts w:ascii="Montserrat" w:hAnsi="Montserrat" w:cs="Times New Roman"/>
                        <w:color w:val="FFFFFF" w:themeColor="background1"/>
                        <w:sz w:val="22"/>
                        <w:szCs w:val="22"/>
                      </w:rPr>
                      <w:fldChar w:fldCharType="separate"/>
                    </w:r>
                    <w:r w:rsidRPr="007A5134">
                      <w:rPr>
                        <w:rFonts w:ascii="Montserrat" w:hAnsi="Montserrat" w:cs="Times New Roman"/>
                        <w:noProof/>
                        <w:color w:val="FFFFFF" w:themeColor="background1"/>
                        <w:sz w:val="22"/>
                        <w:szCs w:val="22"/>
                      </w:rPr>
                      <w:t>2</w:t>
                    </w:r>
                    <w:r w:rsidRPr="007A5134">
                      <w:rPr>
                        <w:rFonts w:ascii="Montserrat" w:hAnsi="Montserrat" w:cs="Times New Roman"/>
                        <w:noProof/>
                        <w:color w:val="FFFFFF" w:themeColor="background1"/>
                        <w:sz w:val="22"/>
                        <w:szCs w:val="22"/>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2C4D" w14:textId="77777777" w:rsidR="00CE6D1F" w:rsidRDefault="00CE6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409E2" w14:textId="77777777" w:rsidR="00AA4D6B" w:rsidRDefault="00AA4D6B" w:rsidP="0008271D">
      <w:r>
        <w:separator/>
      </w:r>
    </w:p>
  </w:footnote>
  <w:footnote w:type="continuationSeparator" w:id="0">
    <w:p w14:paraId="3F394B85" w14:textId="77777777" w:rsidR="00AA4D6B" w:rsidRDefault="00AA4D6B" w:rsidP="0008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8BA6" w14:textId="77777777" w:rsidR="00CE6D1F" w:rsidRDefault="00CE6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CCD0" w14:textId="79C35843" w:rsidR="0008271D" w:rsidRPr="00E21E29" w:rsidRDefault="0008271D" w:rsidP="0008271D">
    <w:pPr>
      <w:pBdr>
        <w:top w:val="nil"/>
        <w:left w:val="nil"/>
        <w:bottom w:val="nil"/>
        <w:right w:val="nil"/>
        <w:between w:val="nil"/>
      </w:pBdr>
      <w:tabs>
        <w:tab w:val="center" w:pos="4513"/>
        <w:tab w:val="right" w:pos="9026"/>
      </w:tabs>
      <w:ind w:left="-284"/>
      <w:rPr>
        <w:rFonts w:ascii="Montserrat" w:eastAsia="Montserrat" w:hAnsi="Montserrat" w:cs="Montserrat"/>
        <w:sz w:val="24"/>
        <w:szCs w:val="24"/>
      </w:rPr>
    </w:pPr>
    <w:r w:rsidRPr="00E21E29">
      <w:rPr>
        <w:rFonts w:ascii="Montserrat" w:eastAsia="Montserrat" w:hAnsi="Montserrat" w:cs="Montserrat"/>
        <w:sz w:val="24"/>
        <w:szCs w:val="24"/>
      </w:rPr>
      <w:t>The Law Library</w:t>
    </w:r>
    <w:r>
      <w:rPr>
        <w:rFonts w:ascii="Montserrat" w:eastAsia="Montserrat" w:hAnsi="Montserrat" w:cs="Montserrat"/>
        <w:sz w:val="24"/>
        <w:szCs w:val="24"/>
      </w:rPr>
      <w:tab/>
    </w:r>
    <w:r>
      <w:rPr>
        <w:rFonts w:ascii="Montserrat" w:eastAsia="Montserrat" w:hAnsi="Montserrat" w:cs="Montserrat"/>
        <w:sz w:val="24"/>
        <w:szCs w:val="24"/>
      </w:rPr>
      <w:tab/>
      <w:t>General Commercial</w:t>
    </w:r>
  </w:p>
  <w:p w14:paraId="241E0F32" w14:textId="3A58AB3F" w:rsidR="0008271D" w:rsidRDefault="0008271D" w:rsidP="00CE6D1F">
    <w:pPr>
      <w:pBdr>
        <w:top w:val="nil"/>
        <w:left w:val="nil"/>
        <w:bottom w:val="nil"/>
        <w:right w:val="nil"/>
        <w:between w:val="nil"/>
      </w:pBdr>
      <w:tabs>
        <w:tab w:val="center" w:pos="4513"/>
        <w:tab w:val="right" w:pos="9026"/>
        <w:tab w:val="left" w:pos="9072"/>
      </w:tabs>
      <w:ind w:left="-284" w:right="4"/>
      <w:rPr>
        <w:rFonts w:ascii="Montserrat" w:eastAsia="Montserrat" w:hAnsi="Montserrat" w:cs="Montserrat"/>
        <w:sz w:val="24"/>
        <w:szCs w:val="24"/>
      </w:rPr>
    </w:pPr>
    <w:r w:rsidRPr="00B87DC1">
      <w:rPr>
        <w:rFonts w:ascii="Montserrat" w:eastAsia="Montserrat" w:hAnsi="Montserrat" w:cs="Montserrat"/>
      </w:rPr>
      <w:t>www.tllindia.com</w:t>
    </w:r>
    <w:r>
      <w:rPr>
        <w:rFonts w:ascii="Montserrat" w:eastAsia="Montserrat" w:hAnsi="Montserrat" w:cs="Montserrat"/>
      </w:rPr>
      <w:tab/>
    </w:r>
    <w:r>
      <w:rPr>
        <w:rFonts w:ascii="Montserrat" w:eastAsia="Montserrat" w:hAnsi="Montserrat" w:cs="Montserrat"/>
      </w:rPr>
      <w:tab/>
    </w:r>
  </w:p>
  <w:p w14:paraId="3039BD84" w14:textId="77777777" w:rsidR="0008271D" w:rsidRDefault="0008271D" w:rsidP="0008271D">
    <w:pPr>
      <w:pBdr>
        <w:top w:val="nil"/>
        <w:left w:val="nil"/>
        <w:bottom w:val="nil"/>
        <w:right w:val="nil"/>
        <w:between w:val="nil"/>
      </w:pBdr>
      <w:tabs>
        <w:tab w:val="center" w:pos="4513"/>
        <w:tab w:val="right" w:pos="9026"/>
        <w:tab w:val="left" w:pos="9072"/>
      </w:tabs>
      <w:ind w:left="-284" w:right="4"/>
      <w:rPr>
        <w:rFonts w:ascii="Montserrat" w:eastAsia="Montserrat" w:hAnsi="Montserrat" w:cs="Montserrat"/>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A2A8A" w14:textId="77777777" w:rsidR="00CE6D1F" w:rsidRDefault="00CE6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8C9"/>
    <w:multiLevelType w:val="hybridMultilevel"/>
    <w:tmpl w:val="19BCB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52818"/>
    <w:multiLevelType w:val="multilevel"/>
    <w:tmpl w:val="931AB8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7A5456"/>
    <w:multiLevelType w:val="multilevel"/>
    <w:tmpl w:val="68F4BE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3F6B20"/>
    <w:multiLevelType w:val="hybridMultilevel"/>
    <w:tmpl w:val="0F14D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09164A"/>
    <w:multiLevelType w:val="multilevel"/>
    <w:tmpl w:val="8C029B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4754943">
    <w:abstractNumId w:val="1"/>
  </w:num>
  <w:num w:numId="2" w16cid:durableId="381489124">
    <w:abstractNumId w:val="2"/>
  </w:num>
  <w:num w:numId="3" w16cid:durableId="151138884">
    <w:abstractNumId w:val="4"/>
  </w:num>
  <w:num w:numId="4" w16cid:durableId="1426462771">
    <w:abstractNumId w:val="0"/>
  </w:num>
  <w:num w:numId="5" w16cid:durableId="1985355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55"/>
    <w:rsid w:val="00015FB4"/>
    <w:rsid w:val="000321D3"/>
    <w:rsid w:val="000637FE"/>
    <w:rsid w:val="0008271D"/>
    <w:rsid w:val="001011C6"/>
    <w:rsid w:val="00131EAC"/>
    <w:rsid w:val="001877CA"/>
    <w:rsid w:val="001C787C"/>
    <w:rsid w:val="001F3555"/>
    <w:rsid w:val="002A6B7A"/>
    <w:rsid w:val="002D0BE6"/>
    <w:rsid w:val="00374178"/>
    <w:rsid w:val="00375576"/>
    <w:rsid w:val="003759E2"/>
    <w:rsid w:val="00390FF9"/>
    <w:rsid w:val="0041784B"/>
    <w:rsid w:val="00486769"/>
    <w:rsid w:val="004B2020"/>
    <w:rsid w:val="004D242F"/>
    <w:rsid w:val="005263A5"/>
    <w:rsid w:val="00564622"/>
    <w:rsid w:val="005A2E80"/>
    <w:rsid w:val="005E1C94"/>
    <w:rsid w:val="00693361"/>
    <w:rsid w:val="006C410E"/>
    <w:rsid w:val="0072044C"/>
    <w:rsid w:val="007A5134"/>
    <w:rsid w:val="00877DCA"/>
    <w:rsid w:val="008A32FE"/>
    <w:rsid w:val="008E11AE"/>
    <w:rsid w:val="00981F11"/>
    <w:rsid w:val="009C10FE"/>
    <w:rsid w:val="00AA4D6B"/>
    <w:rsid w:val="00AB3539"/>
    <w:rsid w:val="00AF6A8F"/>
    <w:rsid w:val="00B72797"/>
    <w:rsid w:val="00B74B61"/>
    <w:rsid w:val="00C577BE"/>
    <w:rsid w:val="00CA53AE"/>
    <w:rsid w:val="00CE6D1F"/>
    <w:rsid w:val="00CF6736"/>
    <w:rsid w:val="00D068E5"/>
    <w:rsid w:val="00D57419"/>
    <w:rsid w:val="00E649C2"/>
    <w:rsid w:val="00EA5CA6"/>
    <w:rsid w:val="00EB2E6A"/>
    <w:rsid w:val="00F24B0F"/>
    <w:rsid w:val="00FD4A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025F3"/>
  <w15:chartTrackingRefBased/>
  <w15:docId w15:val="{9DEAC95D-FE71-4D4A-9AC8-2BB88651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kern w:val="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555"/>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1F3555"/>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Heading3">
    <w:name w:val="heading 3"/>
    <w:basedOn w:val="Normal"/>
    <w:next w:val="Normal"/>
    <w:link w:val="Heading3Char"/>
    <w:uiPriority w:val="9"/>
    <w:semiHidden/>
    <w:unhideWhenUsed/>
    <w:qFormat/>
    <w:rsid w:val="001F3555"/>
    <w:pPr>
      <w:keepNext/>
      <w:keepLines/>
      <w:spacing w:before="160" w:after="80"/>
      <w:outlineLvl w:val="2"/>
    </w:pPr>
    <w:rPr>
      <w:rFonts w:asciiTheme="minorHAnsi" w:eastAsiaTheme="majorEastAsia" w:hAnsiTheme="minorHAnsi" w:cstheme="majorBidi"/>
      <w:color w:val="A5A5A5" w:themeColor="accent1" w:themeShade="BF"/>
      <w:sz w:val="28"/>
      <w:szCs w:val="28"/>
    </w:rPr>
  </w:style>
  <w:style w:type="paragraph" w:styleId="Heading4">
    <w:name w:val="heading 4"/>
    <w:basedOn w:val="Normal"/>
    <w:next w:val="Normal"/>
    <w:link w:val="Heading4Char"/>
    <w:uiPriority w:val="9"/>
    <w:semiHidden/>
    <w:unhideWhenUsed/>
    <w:qFormat/>
    <w:rsid w:val="001F3555"/>
    <w:pPr>
      <w:keepNext/>
      <w:keepLines/>
      <w:spacing w:before="80" w:after="40"/>
      <w:outlineLvl w:val="3"/>
    </w:pPr>
    <w:rPr>
      <w:rFonts w:asciiTheme="minorHAnsi" w:eastAsiaTheme="majorEastAsia" w:hAnsiTheme="minorHAnsi" w:cstheme="majorBidi"/>
      <w:i/>
      <w:iCs/>
      <w:color w:val="A5A5A5" w:themeColor="accent1" w:themeShade="BF"/>
    </w:rPr>
  </w:style>
  <w:style w:type="paragraph" w:styleId="Heading5">
    <w:name w:val="heading 5"/>
    <w:basedOn w:val="Normal"/>
    <w:next w:val="Normal"/>
    <w:link w:val="Heading5Char"/>
    <w:uiPriority w:val="9"/>
    <w:semiHidden/>
    <w:unhideWhenUsed/>
    <w:qFormat/>
    <w:rsid w:val="001F3555"/>
    <w:pPr>
      <w:keepNext/>
      <w:keepLines/>
      <w:spacing w:before="80" w:after="40"/>
      <w:outlineLvl w:val="4"/>
    </w:pPr>
    <w:rPr>
      <w:rFonts w:asciiTheme="minorHAnsi" w:eastAsiaTheme="majorEastAsia" w:hAnsiTheme="minorHAnsi" w:cstheme="majorBidi"/>
      <w:color w:val="A5A5A5" w:themeColor="accent1" w:themeShade="BF"/>
    </w:rPr>
  </w:style>
  <w:style w:type="paragraph" w:styleId="Heading6">
    <w:name w:val="heading 6"/>
    <w:basedOn w:val="Normal"/>
    <w:next w:val="Normal"/>
    <w:link w:val="Heading6Char"/>
    <w:uiPriority w:val="9"/>
    <w:semiHidden/>
    <w:unhideWhenUsed/>
    <w:qFormat/>
    <w:rsid w:val="001F35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35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35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35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555"/>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1F3555"/>
    <w:rPr>
      <w:rFonts w:asciiTheme="majorHAnsi" w:eastAsiaTheme="majorEastAsia" w:hAnsiTheme="majorHAnsi" w:cstheme="majorBidi"/>
      <w:color w:val="A5A5A5" w:themeColor="accent1" w:themeShade="BF"/>
      <w:sz w:val="32"/>
      <w:szCs w:val="32"/>
    </w:rPr>
  </w:style>
  <w:style w:type="character" w:customStyle="1" w:styleId="Heading3Char">
    <w:name w:val="Heading 3 Char"/>
    <w:basedOn w:val="DefaultParagraphFont"/>
    <w:link w:val="Heading3"/>
    <w:uiPriority w:val="9"/>
    <w:semiHidden/>
    <w:rsid w:val="001F3555"/>
    <w:rPr>
      <w:rFonts w:asciiTheme="minorHAnsi" w:eastAsiaTheme="majorEastAsia" w:hAnsiTheme="minorHAnsi" w:cstheme="majorBidi"/>
      <w:color w:val="A5A5A5" w:themeColor="accent1" w:themeShade="BF"/>
      <w:sz w:val="28"/>
      <w:szCs w:val="28"/>
    </w:rPr>
  </w:style>
  <w:style w:type="character" w:customStyle="1" w:styleId="Heading4Char">
    <w:name w:val="Heading 4 Char"/>
    <w:basedOn w:val="DefaultParagraphFont"/>
    <w:link w:val="Heading4"/>
    <w:uiPriority w:val="9"/>
    <w:semiHidden/>
    <w:rsid w:val="001F3555"/>
    <w:rPr>
      <w:rFonts w:asciiTheme="minorHAnsi" w:eastAsiaTheme="majorEastAsia" w:hAnsiTheme="minorHAnsi" w:cstheme="majorBidi"/>
      <w:i/>
      <w:iCs/>
      <w:color w:val="A5A5A5" w:themeColor="accent1" w:themeShade="BF"/>
    </w:rPr>
  </w:style>
  <w:style w:type="character" w:customStyle="1" w:styleId="Heading5Char">
    <w:name w:val="Heading 5 Char"/>
    <w:basedOn w:val="DefaultParagraphFont"/>
    <w:link w:val="Heading5"/>
    <w:uiPriority w:val="9"/>
    <w:semiHidden/>
    <w:rsid w:val="001F3555"/>
    <w:rPr>
      <w:rFonts w:asciiTheme="minorHAnsi" w:eastAsiaTheme="majorEastAsia" w:hAnsiTheme="minorHAnsi" w:cstheme="majorBidi"/>
      <w:color w:val="A5A5A5" w:themeColor="accent1" w:themeShade="BF"/>
    </w:rPr>
  </w:style>
  <w:style w:type="character" w:customStyle="1" w:styleId="Heading6Char">
    <w:name w:val="Heading 6 Char"/>
    <w:basedOn w:val="DefaultParagraphFont"/>
    <w:link w:val="Heading6"/>
    <w:uiPriority w:val="9"/>
    <w:semiHidden/>
    <w:rsid w:val="001F35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35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35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35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35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5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5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35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3555"/>
    <w:rPr>
      <w:i/>
      <w:iCs/>
      <w:color w:val="404040" w:themeColor="text1" w:themeTint="BF"/>
    </w:rPr>
  </w:style>
  <w:style w:type="paragraph" w:styleId="ListParagraph">
    <w:name w:val="List Paragraph"/>
    <w:basedOn w:val="Normal"/>
    <w:uiPriority w:val="34"/>
    <w:qFormat/>
    <w:rsid w:val="001F3555"/>
    <w:pPr>
      <w:ind w:left="720"/>
      <w:contextualSpacing/>
    </w:pPr>
  </w:style>
  <w:style w:type="character" w:styleId="IntenseEmphasis">
    <w:name w:val="Intense Emphasis"/>
    <w:basedOn w:val="DefaultParagraphFont"/>
    <w:uiPriority w:val="21"/>
    <w:qFormat/>
    <w:rsid w:val="001F3555"/>
    <w:rPr>
      <w:i/>
      <w:iCs/>
      <w:color w:val="A5A5A5" w:themeColor="accent1" w:themeShade="BF"/>
    </w:rPr>
  </w:style>
  <w:style w:type="paragraph" w:styleId="IntenseQuote">
    <w:name w:val="Intense Quote"/>
    <w:basedOn w:val="Normal"/>
    <w:next w:val="Normal"/>
    <w:link w:val="IntenseQuoteChar"/>
    <w:uiPriority w:val="30"/>
    <w:qFormat/>
    <w:rsid w:val="001F3555"/>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eQuoteChar">
    <w:name w:val="Intense Quote Char"/>
    <w:basedOn w:val="DefaultParagraphFont"/>
    <w:link w:val="IntenseQuote"/>
    <w:uiPriority w:val="30"/>
    <w:rsid w:val="001F3555"/>
    <w:rPr>
      <w:i/>
      <w:iCs/>
      <w:color w:val="A5A5A5" w:themeColor="accent1" w:themeShade="BF"/>
    </w:rPr>
  </w:style>
  <w:style w:type="character" w:styleId="IntenseReference">
    <w:name w:val="Intense Reference"/>
    <w:basedOn w:val="DefaultParagraphFont"/>
    <w:uiPriority w:val="32"/>
    <w:qFormat/>
    <w:rsid w:val="001F3555"/>
    <w:rPr>
      <w:b/>
      <w:bCs/>
      <w:smallCaps/>
      <w:color w:val="A5A5A5" w:themeColor="accent1" w:themeShade="BF"/>
      <w:spacing w:val="5"/>
    </w:rPr>
  </w:style>
  <w:style w:type="paragraph" w:styleId="Header">
    <w:name w:val="header"/>
    <w:basedOn w:val="Normal"/>
    <w:link w:val="HeaderChar"/>
    <w:uiPriority w:val="99"/>
    <w:unhideWhenUsed/>
    <w:rsid w:val="0008271D"/>
    <w:pPr>
      <w:tabs>
        <w:tab w:val="center" w:pos="4513"/>
        <w:tab w:val="right" w:pos="9026"/>
      </w:tabs>
    </w:pPr>
  </w:style>
  <w:style w:type="character" w:customStyle="1" w:styleId="HeaderChar">
    <w:name w:val="Header Char"/>
    <w:basedOn w:val="DefaultParagraphFont"/>
    <w:link w:val="Header"/>
    <w:uiPriority w:val="99"/>
    <w:rsid w:val="0008271D"/>
  </w:style>
  <w:style w:type="paragraph" w:styleId="Footer">
    <w:name w:val="footer"/>
    <w:basedOn w:val="Normal"/>
    <w:link w:val="FooterChar"/>
    <w:uiPriority w:val="99"/>
    <w:unhideWhenUsed/>
    <w:rsid w:val="0008271D"/>
    <w:pPr>
      <w:tabs>
        <w:tab w:val="center" w:pos="4513"/>
        <w:tab w:val="right" w:pos="9026"/>
      </w:tabs>
    </w:pPr>
  </w:style>
  <w:style w:type="character" w:customStyle="1" w:styleId="FooterChar">
    <w:name w:val="Footer Char"/>
    <w:basedOn w:val="DefaultParagraphFont"/>
    <w:link w:val="Footer"/>
    <w:uiPriority w:val="99"/>
    <w:rsid w:val="0008271D"/>
  </w:style>
  <w:style w:type="table" w:styleId="TableGrid">
    <w:name w:val="Table Grid"/>
    <w:basedOn w:val="TableNormal"/>
    <w:uiPriority w:val="39"/>
    <w:rsid w:val="0087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70076">
      <w:bodyDiv w:val="1"/>
      <w:marLeft w:val="0"/>
      <w:marRight w:val="0"/>
      <w:marTop w:val="0"/>
      <w:marBottom w:val="0"/>
      <w:divBdr>
        <w:top w:val="none" w:sz="0" w:space="0" w:color="auto"/>
        <w:left w:val="none" w:sz="0" w:space="0" w:color="auto"/>
        <w:bottom w:val="none" w:sz="0" w:space="0" w:color="auto"/>
        <w:right w:val="none" w:sz="0" w:space="0" w:color="auto"/>
      </w:divBdr>
    </w:div>
    <w:div w:id="523246829">
      <w:bodyDiv w:val="1"/>
      <w:marLeft w:val="0"/>
      <w:marRight w:val="0"/>
      <w:marTop w:val="0"/>
      <w:marBottom w:val="0"/>
      <w:divBdr>
        <w:top w:val="none" w:sz="0" w:space="0" w:color="auto"/>
        <w:left w:val="none" w:sz="0" w:space="0" w:color="auto"/>
        <w:bottom w:val="none" w:sz="0" w:space="0" w:color="auto"/>
        <w:right w:val="none" w:sz="0" w:space="0" w:color="auto"/>
      </w:divBdr>
    </w:div>
    <w:div w:id="634677466">
      <w:bodyDiv w:val="1"/>
      <w:marLeft w:val="0"/>
      <w:marRight w:val="0"/>
      <w:marTop w:val="0"/>
      <w:marBottom w:val="0"/>
      <w:divBdr>
        <w:top w:val="none" w:sz="0" w:space="0" w:color="auto"/>
        <w:left w:val="none" w:sz="0" w:space="0" w:color="auto"/>
        <w:bottom w:val="none" w:sz="0" w:space="0" w:color="auto"/>
        <w:right w:val="none" w:sz="0" w:space="0" w:color="auto"/>
      </w:divBdr>
    </w:div>
    <w:div w:id="854853630">
      <w:bodyDiv w:val="1"/>
      <w:marLeft w:val="0"/>
      <w:marRight w:val="0"/>
      <w:marTop w:val="0"/>
      <w:marBottom w:val="0"/>
      <w:divBdr>
        <w:top w:val="none" w:sz="0" w:space="0" w:color="auto"/>
        <w:left w:val="none" w:sz="0" w:space="0" w:color="auto"/>
        <w:bottom w:val="none" w:sz="0" w:space="0" w:color="auto"/>
        <w:right w:val="none" w:sz="0" w:space="0" w:color="auto"/>
      </w:divBdr>
    </w:div>
    <w:div w:id="1043943512">
      <w:bodyDiv w:val="1"/>
      <w:marLeft w:val="0"/>
      <w:marRight w:val="0"/>
      <w:marTop w:val="0"/>
      <w:marBottom w:val="0"/>
      <w:divBdr>
        <w:top w:val="none" w:sz="0" w:space="0" w:color="auto"/>
        <w:left w:val="none" w:sz="0" w:space="0" w:color="auto"/>
        <w:bottom w:val="none" w:sz="0" w:space="0" w:color="auto"/>
        <w:right w:val="none" w:sz="0" w:space="0" w:color="auto"/>
      </w:divBdr>
    </w:div>
    <w:div w:id="1135951209">
      <w:bodyDiv w:val="1"/>
      <w:marLeft w:val="0"/>
      <w:marRight w:val="0"/>
      <w:marTop w:val="0"/>
      <w:marBottom w:val="0"/>
      <w:divBdr>
        <w:top w:val="none" w:sz="0" w:space="0" w:color="auto"/>
        <w:left w:val="none" w:sz="0" w:space="0" w:color="auto"/>
        <w:bottom w:val="none" w:sz="0" w:space="0" w:color="auto"/>
        <w:right w:val="none" w:sz="0" w:space="0" w:color="auto"/>
      </w:divBdr>
    </w:div>
    <w:div w:id="1632053018">
      <w:bodyDiv w:val="1"/>
      <w:marLeft w:val="0"/>
      <w:marRight w:val="0"/>
      <w:marTop w:val="0"/>
      <w:marBottom w:val="0"/>
      <w:divBdr>
        <w:top w:val="none" w:sz="0" w:space="0" w:color="auto"/>
        <w:left w:val="none" w:sz="0" w:space="0" w:color="auto"/>
        <w:bottom w:val="none" w:sz="0" w:space="0" w:color="auto"/>
        <w:right w:val="none" w:sz="0" w:space="0" w:color="auto"/>
      </w:divBdr>
    </w:div>
    <w:div w:id="189905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Information Checklist - Unilateral Non-Disclosure Agreement</vt:lpstr>
    </vt:vector>
  </TitlesOfParts>
  <Manager/>
  <Company>TLL The Law Library Private Limited</Company>
  <LinksUpToDate>false</LinksUpToDate>
  <CharactersWithSpaces>6598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Checklist - Mutual Non-Disclosure Agreement</dc:title>
  <dc:subject>General Commercial</dc:subject>
  <dc:creator>TLL The Law Library Private Limited</dc:creator>
  <cp:keywords/>
  <dc:description/>
  <cp:lastModifiedBy>Pranay Mangharam</cp:lastModifiedBy>
  <cp:revision>7</cp:revision>
  <dcterms:created xsi:type="dcterms:W3CDTF">2024-09-09T12:04:00Z</dcterms:created>
  <dcterms:modified xsi:type="dcterms:W3CDTF">2024-09-27T11:02:00Z</dcterms:modified>
  <cp:category/>
</cp:coreProperties>
</file>